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2024</w:t>
      </w:r>
      <w:r>
        <w:fldChar w:fldCharType="end"/>
      </w:r>
      <w:bookmarkEnd w:id="7"/>
    </w:p>
    <w:p>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1"/>
        <w:framePr w:w="9639" w:h="6976" w:hRule="exact" w:hSpace="0" w:vSpace="0" w:wrap="around" w:hAnchor="page" w:y="6408"/>
        <w:jc w:val="center"/>
        <w:rPr>
          <w:rFonts w:ascii="黑体" w:hAnsi="黑体" w:eastAsia="黑体"/>
          <w:b w:val="0"/>
          <w:bCs w:val="0"/>
          <w:w w:val="100"/>
        </w:rPr>
      </w:pPr>
    </w:p>
    <w:p>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县级（区域）医疗资源</w:t>
      </w:r>
      <w:r>
        <w:rPr>
          <w:rFonts w:hint="eastAsia"/>
          <w:lang w:eastAsia="zh-CN"/>
        </w:rPr>
        <w:t>集中化运行</w:t>
      </w:r>
      <w:r>
        <w:t>规范</w:t>
      </w:r>
    </w:p>
    <w:p>
      <w:pPr>
        <w:pStyle w:val="198"/>
        <w:framePr w:h="6974" w:hRule="exact" w:wrap="around" w:x="1419" w:anchorLock="1"/>
      </w:pPr>
      <w:r>
        <w:t>第6部分：健康随访中心</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County-Level (Regional) Medical Resource Centralization Operation Standards——</w:t>
      </w:r>
    </w:p>
    <w:p>
      <w:pPr>
        <w:pStyle w:val="126"/>
        <w:framePr w:w="9639" w:h="6974" w:hRule="exact" w:wrap="around" w:vAnchor="page" w:hAnchor="page" w:x="1419" w:y="6408" w:anchorLock="1"/>
        <w:textAlignment w:val="bottom"/>
        <w:rPr>
          <w:rFonts w:ascii="黑体" w:hAnsi="黑体" w:eastAsia="黑体"/>
          <w:szCs w:val="28"/>
        </w:rPr>
      </w:pPr>
      <w:r>
        <w:rPr>
          <w:rFonts w:hint="eastAsia" w:ascii="黑体" w:hAnsi="黑体" w:eastAsia="黑体"/>
          <w:szCs w:val="28"/>
        </w:rPr>
        <w:t>Part 6：Health follow-up center</w:t>
      </w:r>
      <w:r>
        <w:rPr>
          <w:rFonts w:ascii="黑体" w:hAnsi="黑体" w:eastAsia="黑体"/>
          <w:szCs w:val="28"/>
        </w:rPr>
        <w:t xml:space="preserve"> </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（本草案完成时间：2024年）</w:t>
      </w:r>
      <w:r>
        <w:rPr>
          <w:sz w:val="21"/>
          <w:szCs w:val="28"/>
        </w:rPr>
        <w:fldChar w:fldCharType="end"/>
      </w:r>
      <w:bookmarkEnd w:id="12"/>
    </w:p>
    <w:p>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2"/>
        <w:spacing w:after="468"/>
      </w:pPr>
      <w:bookmarkStart w:id="21" w:name="BookMark1"/>
      <w:bookmarkStart w:id="22" w:name="_Toc174032215"/>
      <w:bookmarkStart w:id="23" w:name="_Toc168996826"/>
      <w:bookmarkStart w:id="24" w:name="_Toc164497869"/>
      <w:bookmarkStart w:id="25" w:name="_Toc174032153"/>
      <w:bookmarkStart w:id="26" w:name="_Toc163899585"/>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"_Toc174032274" </w:instrText>
      </w:r>
      <w:r>
        <w:fldChar w:fldCharType="separate"/>
      </w:r>
      <w:r>
        <w:rPr>
          <w:rStyle w:val="33"/>
        </w:rPr>
        <w:t>前言</w:t>
      </w:r>
      <w:r>
        <w:tab/>
      </w:r>
      <w:r>
        <w:fldChar w:fldCharType="begin"/>
      </w:r>
      <w:r>
        <w:instrText xml:space="preserve"> PAGEREF _Toc174032274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"_Toc174032275" </w:instrText>
      </w:r>
      <w:r>
        <w:fldChar w:fldCharType="separate"/>
      </w:r>
      <w:r>
        <w:rPr>
          <w:rStyle w:val="33"/>
        </w:rPr>
        <w:t>引言</w:t>
      </w:r>
      <w:r>
        <w:tab/>
      </w:r>
      <w:r>
        <w:fldChar w:fldCharType="begin"/>
      </w:r>
      <w:r>
        <w:instrText xml:space="preserve"> PAGEREF _Toc174032275 \h </w:instrText>
      </w:r>
      <w:r>
        <w:fldChar w:fldCharType="separate"/>
      </w:r>
      <w:r>
        <w:t>III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"_Toc174032276" </w:instrText>
      </w:r>
      <w:r>
        <w:fldChar w:fldCharType="separate"/>
      </w:r>
      <w:r>
        <w:rPr>
          <w:rStyle w:val="33"/>
        </w:rPr>
        <w:t>1  范围</w:t>
      </w:r>
      <w:r>
        <w:tab/>
      </w:r>
      <w:r>
        <w:fldChar w:fldCharType="begin"/>
      </w:r>
      <w:r>
        <w:instrText xml:space="preserve"> PAGEREF _Toc174032276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"_Toc174032277" </w:instrText>
      </w:r>
      <w:r>
        <w:fldChar w:fldCharType="separate"/>
      </w:r>
      <w:r>
        <w:rPr>
          <w:rStyle w:val="33"/>
        </w:rPr>
        <w:t>2  规范性引用文件</w:t>
      </w:r>
      <w:r>
        <w:tab/>
      </w:r>
      <w:r>
        <w:fldChar w:fldCharType="begin"/>
      </w:r>
      <w:r>
        <w:instrText xml:space="preserve"> PAGEREF _Toc174032277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"_Toc174032278" </w:instrText>
      </w:r>
      <w:r>
        <w:fldChar w:fldCharType="separate"/>
      </w:r>
      <w:r>
        <w:rPr>
          <w:rStyle w:val="33"/>
        </w:rPr>
        <w:t>3  术语和定义</w:t>
      </w:r>
      <w:r>
        <w:tab/>
      </w:r>
      <w:r>
        <w:fldChar w:fldCharType="begin"/>
      </w:r>
      <w:r>
        <w:instrText xml:space="preserve"> PAGEREF _Toc174032278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"_Toc174032279" </w:instrText>
      </w:r>
      <w:r>
        <w:fldChar w:fldCharType="separate"/>
      </w:r>
      <w:r>
        <w:rPr>
          <w:rStyle w:val="33"/>
        </w:rPr>
        <w:t>4  基本要求</w:t>
      </w:r>
      <w:r>
        <w:tab/>
      </w:r>
      <w:r>
        <w:fldChar w:fldCharType="begin"/>
      </w:r>
      <w:r>
        <w:instrText xml:space="preserve"> PAGEREF _Toc174032279 \h </w:instrText>
      </w:r>
      <w:r>
        <w:fldChar w:fldCharType="separate"/>
      </w:r>
      <w:r>
        <w:t>5</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"_Toc174032280" </w:instrText>
      </w:r>
      <w:r>
        <w:fldChar w:fldCharType="separate"/>
      </w:r>
      <w:r>
        <w:rPr>
          <w:rStyle w:val="33"/>
        </w:rPr>
        <w:t>5  设施设备要求</w:t>
      </w:r>
      <w:r>
        <w:tab/>
      </w:r>
      <w:r>
        <w:fldChar w:fldCharType="begin"/>
      </w:r>
      <w:r>
        <w:instrText xml:space="preserve"> PAGEREF _Toc174032280 \h </w:instrText>
      </w:r>
      <w:r>
        <w:fldChar w:fldCharType="separate"/>
      </w:r>
      <w:r>
        <w:t>5</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"_Toc174032281" </w:instrText>
      </w:r>
      <w:r>
        <w:fldChar w:fldCharType="separate"/>
      </w:r>
      <w:r>
        <w:rPr>
          <w:rStyle w:val="33"/>
        </w:rPr>
        <w:t>6  组织架构</w:t>
      </w:r>
      <w:r>
        <w:tab/>
      </w:r>
      <w:r>
        <w:fldChar w:fldCharType="begin"/>
      </w:r>
      <w:r>
        <w:instrText xml:space="preserve"> PAGEREF _Toc174032281 \h </w:instrText>
      </w:r>
      <w:r>
        <w:fldChar w:fldCharType="separate"/>
      </w:r>
      <w:r>
        <w:t>5</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"_Toc174032282" </w:instrText>
      </w:r>
      <w:r>
        <w:fldChar w:fldCharType="separate"/>
      </w:r>
      <w:r>
        <w:rPr>
          <w:rStyle w:val="33"/>
        </w:rPr>
        <w:t>7  人员配备标准与职责</w:t>
      </w:r>
      <w:r>
        <w:tab/>
      </w:r>
      <w:r>
        <w:fldChar w:fldCharType="begin"/>
      </w:r>
      <w:r>
        <w:instrText xml:space="preserve"> PAGEREF _Toc174032282 \h </w:instrText>
      </w:r>
      <w:r>
        <w:fldChar w:fldCharType="separate"/>
      </w:r>
      <w:r>
        <w:t>5</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"_Toc174032283" </w:instrText>
      </w:r>
      <w:r>
        <w:fldChar w:fldCharType="separate"/>
      </w:r>
      <w:r>
        <w:rPr>
          <w:rStyle w:val="33"/>
        </w:rPr>
        <w:t>8  中心功能</w:t>
      </w:r>
      <w:r>
        <w:tab/>
      </w:r>
      <w:r>
        <w:fldChar w:fldCharType="begin"/>
      </w:r>
      <w:r>
        <w:instrText xml:space="preserve"> PAGEREF _Toc174032283 \h </w:instrText>
      </w:r>
      <w:r>
        <w:fldChar w:fldCharType="separate"/>
      </w:r>
      <w:r>
        <w:t>6</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"_Toc174032291" </w:instrText>
      </w:r>
      <w:r>
        <w:fldChar w:fldCharType="separate"/>
      </w:r>
      <w:r>
        <w:rPr>
          <w:rStyle w:val="33"/>
        </w:rPr>
        <w:t>9  质量控制</w:t>
      </w:r>
      <w:r>
        <w:tab/>
      </w:r>
      <w:r>
        <w:fldChar w:fldCharType="begin"/>
      </w:r>
      <w:r>
        <w:instrText xml:space="preserve"> PAGEREF _Toc174032291 \h </w:instrText>
      </w:r>
      <w:r>
        <w:fldChar w:fldCharType="separate"/>
      </w:r>
      <w:r>
        <w:t>7</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"_Toc174032292" </w:instrText>
      </w:r>
      <w:r>
        <w:fldChar w:fldCharType="separate"/>
      </w:r>
      <w:r>
        <w:rPr>
          <w:rStyle w:val="33"/>
        </w:rPr>
        <w:t>参考文献</w:t>
      </w:r>
      <w:r>
        <w:tab/>
      </w:r>
      <w:r>
        <w:fldChar w:fldCharType="begin"/>
      </w:r>
      <w:r>
        <w:instrText xml:space="preserve"> PAGEREF _Toc174032292 \h </w:instrText>
      </w:r>
      <w:r>
        <w:fldChar w:fldCharType="separate"/>
      </w:r>
      <w:r>
        <w:t>8</w:t>
      </w:r>
      <w:r>
        <w:fldChar w:fldCharType="end"/>
      </w:r>
      <w:r>
        <w:fldChar w:fldCharType="end"/>
      </w:r>
    </w:p>
    <w:p>
      <w:pPr>
        <w:pStyle w:val="92"/>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90"/>
        <w:spacing w:before="900" w:after="468"/>
      </w:pPr>
      <w:bookmarkStart w:id="27" w:name="_Toc174032274"/>
      <w:bookmarkStart w:id="28" w:name="BookMark2"/>
      <w:r>
        <w:rPr>
          <w:spacing w:val="320"/>
        </w:rPr>
        <w:t>前</w:t>
      </w:r>
      <w:r>
        <w:t>言</w:t>
      </w:r>
      <w:bookmarkEnd w:id="22"/>
      <w:bookmarkEnd w:id="23"/>
      <w:bookmarkEnd w:id="24"/>
      <w:bookmarkEnd w:id="25"/>
      <w:bookmarkEnd w:id="26"/>
      <w:bookmarkEnd w:id="27"/>
    </w:p>
    <w:p>
      <w:pPr>
        <w:pStyle w:val="57"/>
        <w:ind w:firstLine="420"/>
      </w:pPr>
      <w:r>
        <w:rPr>
          <w:rFonts w:hint="eastAsia"/>
        </w:rPr>
        <w:t>本文件是DB32/T XXX《县级（区域）医疗资源</w:t>
      </w:r>
      <w:r>
        <w:rPr>
          <w:rFonts w:hint="eastAsia"/>
          <w:lang w:val="en-US" w:eastAsia="zh-CN"/>
        </w:rPr>
        <w:t>集中化运行</w:t>
      </w:r>
      <w:r>
        <w:rPr>
          <w:rFonts w:hint="eastAsia"/>
        </w:rPr>
        <w:t>规范》第</w:t>
      </w:r>
      <w:r>
        <w:t>6</w:t>
      </w:r>
      <w:r>
        <w:rPr>
          <w:rFonts w:hint="eastAsia"/>
        </w:rPr>
        <w:t>部分。DB32/T XXX已经发布了以下部分：</w:t>
      </w:r>
    </w:p>
    <w:p>
      <w:pPr>
        <w:pStyle w:val="57"/>
        <w:ind w:firstLine="420"/>
      </w:pPr>
      <w:r>
        <w:rPr>
          <w:rFonts w:hint="eastAsia"/>
        </w:rPr>
        <w:t>--第1部分：集中审方中心；</w:t>
      </w:r>
    </w:p>
    <w:p>
      <w:pPr>
        <w:pStyle w:val="57"/>
        <w:ind w:firstLine="420"/>
      </w:pPr>
      <w:r>
        <w:rPr>
          <w:rFonts w:hint="eastAsia"/>
        </w:rPr>
        <w:t>--第2部分：区域影像中心；</w:t>
      </w:r>
    </w:p>
    <w:p>
      <w:pPr>
        <w:pStyle w:val="57"/>
        <w:ind w:firstLine="420"/>
      </w:pPr>
      <w:r>
        <w:rPr>
          <w:rFonts w:hint="eastAsia"/>
        </w:rPr>
        <w:t>--第3部分：智慧急救中心；</w:t>
      </w:r>
    </w:p>
    <w:p>
      <w:pPr>
        <w:pStyle w:val="57"/>
        <w:ind w:firstLine="420"/>
      </w:pPr>
      <w:r>
        <w:rPr>
          <w:rFonts w:hint="eastAsia"/>
        </w:rPr>
        <w:t>--第4部分：远程会诊中心；</w:t>
      </w:r>
    </w:p>
    <w:p>
      <w:pPr>
        <w:pStyle w:val="57"/>
        <w:ind w:firstLine="420"/>
      </w:pPr>
      <w:r>
        <w:rPr>
          <w:rFonts w:hint="eastAsia"/>
        </w:rPr>
        <w:t>--第5部分：网络心电中心；</w:t>
      </w:r>
    </w:p>
    <w:p>
      <w:pPr>
        <w:pStyle w:val="57"/>
        <w:ind w:firstLine="420"/>
      </w:pPr>
      <w:r>
        <w:rPr>
          <w:rFonts w:hint="eastAsia"/>
        </w:rPr>
        <w:t>--第6部分：健康随访中心；</w:t>
      </w:r>
    </w:p>
    <w:p>
      <w:pPr>
        <w:pStyle w:val="57"/>
        <w:ind w:firstLine="420"/>
      </w:pPr>
      <w:r>
        <w:rPr>
          <w:rFonts w:hint="eastAsia"/>
        </w:rPr>
        <w:t>--第7部分：临床检验中心；</w:t>
      </w:r>
    </w:p>
    <w:p>
      <w:pPr>
        <w:pStyle w:val="57"/>
        <w:ind w:firstLine="420"/>
      </w:pPr>
      <w:r>
        <w:rPr>
          <w:rFonts w:hint="eastAsia"/>
        </w:rPr>
        <w:t>--第8部分：消毒供应中心。</w:t>
      </w:r>
    </w:p>
    <w:p>
      <w:pPr>
        <w:pStyle w:val="57"/>
        <w:ind w:firstLine="420"/>
      </w:pPr>
      <w:r>
        <w:rPr>
          <w:rFonts w:hint="eastAsia"/>
        </w:rPr>
        <w:t>请注意本文件的某些内容可能涉及专利。本文件的发布机构不承担识别专利的责任。</w:t>
      </w:r>
    </w:p>
    <w:p>
      <w:pPr>
        <w:pStyle w:val="57"/>
        <w:ind w:firstLine="420"/>
      </w:pPr>
      <w:r>
        <w:rPr>
          <w:rFonts w:hint="eastAsia"/>
        </w:rPr>
        <w:t>本文件由江苏省卫生健康委提出。</w:t>
      </w:r>
    </w:p>
    <w:p>
      <w:pPr>
        <w:pStyle w:val="57"/>
        <w:ind w:firstLine="420"/>
      </w:pPr>
      <w:r>
        <w:rPr>
          <w:rFonts w:hint="eastAsia"/>
        </w:rPr>
        <w:t>本文件由江苏省卫生标准化技术委员会归口。</w:t>
      </w:r>
    </w:p>
    <w:p>
      <w:pPr>
        <w:pStyle w:val="57"/>
        <w:ind w:firstLine="420"/>
      </w:pPr>
      <w:r>
        <w:rPr>
          <w:rFonts w:hint="eastAsia"/>
        </w:rPr>
        <w:t>本文件起草单位：东台市人民医院、盐城市第一人民医院、兴化市人民医院</w:t>
      </w:r>
    </w:p>
    <w:p>
      <w:pPr>
        <w:pStyle w:val="57"/>
        <w:ind w:firstLine="420"/>
      </w:pPr>
      <w:r>
        <w:rPr>
          <w:rFonts w:hint="eastAsia"/>
        </w:rPr>
        <w:t>本文件主要起草人：朱月华、蔡艳、林慧慧、曹美华、李傲霜、沈晓琴、张燕、王跃琴、沈春华、周玉叶、崔骏驰</w:t>
      </w:r>
    </w:p>
    <w:p>
      <w:pPr>
        <w:pStyle w:val="57"/>
        <w:ind w:firstLine="420"/>
      </w:pPr>
    </w:p>
    <w:p>
      <w:pPr>
        <w:pStyle w:val="57"/>
        <w:ind w:firstLine="420"/>
        <w:sectPr>
          <w:pgSz w:w="11906" w:h="16838"/>
          <w:pgMar w:top="1928" w:right="1134" w:bottom="1134" w:left="1134" w:header="1418" w:footer="1134" w:gutter="284"/>
          <w:pgNumType w:fmt="upperRoman"/>
          <w:cols w:space="425" w:num="1"/>
          <w:formProt w:val="0"/>
          <w:docGrid w:type="lines" w:linePitch="312" w:charSpace="0"/>
        </w:sectPr>
      </w:pPr>
    </w:p>
    <w:bookmarkEnd w:id="28"/>
    <w:p>
      <w:pPr>
        <w:pStyle w:val="90"/>
        <w:spacing w:after="468"/>
      </w:pPr>
      <w:bookmarkStart w:id="29" w:name="_Toc168996827"/>
      <w:bookmarkStart w:id="30" w:name="_Toc174032154"/>
      <w:bookmarkStart w:id="31" w:name="_Toc174032216"/>
      <w:bookmarkStart w:id="32" w:name="_Toc174032275"/>
      <w:bookmarkStart w:id="33" w:name="BookMark3"/>
      <w:r>
        <w:rPr>
          <w:spacing w:val="320"/>
        </w:rPr>
        <w:t>引</w:t>
      </w:r>
      <w:r>
        <w:t>言</w:t>
      </w:r>
      <w:bookmarkEnd w:id="29"/>
      <w:bookmarkEnd w:id="30"/>
      <w:bookmarkEnd w:id="31"/>
      <w:bookmarkEnd w:id="32"/>
    </w:p>
    <w:p>
      <w:pPr>
        <w:pStyle w:val="57"/>
        <w:ind w:firstLine="420"/>
      </w:pPr>
      <w:r>
        <w:rPr>
          <w:rFonts w:hint="eastAsia"/>
        </w:rPr>
        <w:t>县域紧密型医共体作为推进分级诊疗体系的重要抓手，普遍面临着多层级医疗资源配置不平衡、医疗服务能力不强、就医信息化程度滞后等问题。如何把县域内各医疗机构变为一个价值同向的共同体为目标。本文件为提升江苏省县级（区域）医疗资源</w:t>
      </w:r>
      <w:r>
        <w:rPr>
          <w:rFonts w:hint="eastAsia"/>
          <w:lang w:val="en-US" w:eastAsia="zh-CN"/>
        </w:rPr>
        <w:t>集中化运行</w:t>
      </w:r>
      <w:r>
        <w:rPr>
          <w:rFonts w:hint="eastAsia"/>
        </w:rPr>
        <w:t>规范，推动县域内各医疗机构成为一个价值同向的共同体的目标而制定。</w:t>
      </w:r>
    </w:p>
    <w:p>
      <w:pPr>
        <w:pStyle w:val="57"/>
        <w:ind w:firstLine="420"/>
      </w:pPr>
      <w:r>
        <w:rPr>
          <w:rFonts w:hint="eastAsia"/>
        </w:rPr>
        <w:t>DB32/T XXX《县级（区域）医疗资源整合中心建设规范》分为以下</w:t>
      </w:r>
      <w:r>
        <w:rPr>
          <w:rFonts w:hint="eastAsia"/>
          <w:lang w:val="en-US" w:eastAsia="zh-CN"/>
        </w:rPr>
        <w:t>8</w:t>
      </w:r>
      <w:bookmarkStart w:id="160" w:name="_GoBack"/>
      <w:bookmarkEnd w:id="160"/>
      <w:r>
        <w:rPr>
          <w:rFonts w:hint="eastAsia"/>
        </w:rPr>
        <w:t>个部分：</w:t>
      </w:r>
    </w:p>
    <w:p>
      <w:pPr>
        <w:pStyle w:val="57"/>
        <w:ind w:firstLine="420"/>
      </w:pPr>
      <w:r>
        <w:rPr>
          <w:rFonts w:hint="eastAsia"/>
        </w:rPr>
        <w:t>--第1部分：集中审方中心；</w:t>
      </w:r>
    </w:p>
    <w:p>
      <w:pPr>
        <w:pStyle w:val="57"/>
        <w:ind w:firstLine="420"/>
      </w:pPr>
      <w:r>
        <w:rPr>
          <w:rFonts w:hint="eastAsia"/>
        </w:rPr>
        <w:t>--第2部分：区域影像中心；</w:t>
      </w:r>
    </w:p>
    <w:p>
      <w:pPr>
        <w:pStyle w:val="57"/>
        <w:ind w:firstLine="420"/>
      </w:pPr>
      <w:r>
        <w:rPr>
          <w:rFonts w:hint="eastAsia"/>
        </w:rPr>
        <w:t>--第3部分：智慧急救中心；</w:t>
      </w:r>
    </w:p>
    <w:p>
      <w:pPr>
        <w:pStyle w:val="57"/>
        <w:ind w:firstLine="420"/>
      </w:pPr>
      <w:r>
        <w:rPr>
          <w:rFonts w:hint="eastAsia"/>
        </w:rPr>
        <w:t>--第4部分：远程会诊中心；</w:t>
      </w:r>
    </w:p>
    <w:p>
      <w:pPr>
        <w:pStyle w:val="57"/>
        <w:ind w:firstLine="420"/>
      </w:pPr>
      <w:r>
        <w:rPr>
          <w:rFonts w:hint="eastAsia"/>
        </w:rPr>
        <w:t>--第5部分：网络心电中心；</w:t>
      </w:r>
    </w:p>
    <w:p>
      <w:pPr>
        <w:pStyle w:val="57"/>
        <w:ind w:firstLine="420"/>
      </w:pPr>
      <w:r>
        <w:rPr>
          <w:rFonts w:hint="eastAsia"/>
        </w:rPr>
        <w:t>--第6部分：健康随访中心；</w:t>
      </w:r>
    </w:p>
    <w:p>
      <w:pPr>
        <w:pStyle w:val="57"/>
        <w:ind w:firstLine="420"/>
      </w:pPr>
      <w:r>
        <w:rPr>
          <w:rFonts w:hint="eastAsia"/>
        </w:rPr>
        <w:t>--第7部分：临床检验中心；</w:t>
      </w:r>
    </w:p>
    <w:p>
      <w:pPr>
        <w:pStyle w:val="57"/>
        <w:ind w:firstLine="420"/>
      </w:pPr>
      <w:r>
        <w:rPr>
          <w:rFonts w:hint="eastAsia"/>
        </w:rPr>
        <w:t>--第8部分：消毒供应中心。</w:t>
      </w:r>
    </w:p>
    <w:p>
      <w:pPr>
        <w:pStyle w:val="57"/>
        <w:ind w:firstLine="420"/>
        <w:sectPr>
          <w:pgSz w:w="11906" w:h="16838"/>
          <w:pgMar w:top="1928" w:right="1134" w:bottom="1134" w:left="1134" w:header="1418" w:footer="1134" w:gutter="284"/>
          <w:pgNumType w:fmt="upperRoman"/>
          <w:cols w:space="425" w:num="1"/>
          <w:formProt w:val="0"/>
          <w:docGrid w:type="lines" w:linePitch="312" w:charSpace="0"/>
        </w:sectPr>
      </w:pPr>
      <w:r>
        <w:rPr>
          <w:rFonts w:hint="eastAsia"/>
        </w:rPr>
        <w:t>DB32/T XXX的制定是通过建设县级（区域）医疗资源</w:t>
      </w:r>
      <w:r>
        <w:rPr>
          <w:rFonts w:hint="eastAsia"/>
          <w:lang w:val="en-US" w:eastAsia="zh-CN"/>
        </w:rPr>
        <w:t>集中化运行规范</w:t>
      </w:r>
      <w:r>
        <w:rPr>
          <w:rFonts w:hint="eastAsia"/>
        </w:rPr>
        <w:t>，依托于“互联网+”和智能化技术的信息系统，能够打破信息壁垒，提升县级（区域）医疗服务的协同性和一体化水平，以更好优化资源配置、改善患者就医体验。</w:t>
      </w:r>
    </w:p>
    <w:bookmarkEnd w:id="33"/>
    <w:p>
      <w:pPr>
        <w:spacing w:line="20" w:lineRule="exact"/>
        <w:jc w:val="center"/>
        <w:rPr>
          <w:rFonts w:ascii="黑体" w:hAnsi="黑体" w:eastAsia="黑体"/>
          <w:sz w:val="32"/>
          <w:szCs w:val="32"/>
        </w:rPr>
      </w:pPr>
      <w:bookmarkStart w:id="34" w:name="BookMark4"/>
    </w:p>
    <w:p>
      <w:pPr>
        <w:spacing w:line="20" w:lineRule="exact"/>
        <w:jc w:val="center"/>
        <w:rPr>
          <w:rFonts w:ascii="黑体" w:hAnsi="黑体" w:eastAsia="黑体"/>
          <w:sz w:val="32"/>
          <w:szCs w:val="32"/>
        </w:rPr>
      </w:pPr>
    </w:p>
    <w:sdt>
      <w:sdtPr>
        <w:tag w:val="NEW_STAND_NAME"/>
        <w:id w:val="595910757"/>
        <w:lock w:val="sdtLocked"/>
        <w:placeholder>
          <w:docPart w:val="06D80C8F7E3E423AAA9A281DBEF3D2D8"/>
        </w:placeholder>
      </w:sdtPr>
      <w:sdtContent>
        <w:p>
          <w:pPr>
            <w:pStyle w:val="178"/>
            <w:spacing w:before="3" w:beforeLines="1" w:after="3" w:afterLines="1"/>
          </w:pPr>
          <w:bookmarkStart w:id="35" w:name="NEW_STAND_NAME"/>
          <w:r>
            <w:rPr>
              <w:rFonts w:hint="eastAsia"/>
            </w:rPr>
            <w:t>县级（区域）医疗资源</w:t>
          </w:r>
          <w:r>
            <w:rPr>
              <w:rFonts w:hint="eastAsia"/>
              <w:lang w:val="en-US" w:eastAsia="zh-CN"/>
            </w:rPr>
            <w:t>集中化运行</w:t>
          </w:r>
          <w:r>
            <w:rPr>
              <w:rFonts w:hint="eastAsia"/>
            </w:rPr>
            <w:t>规范</w:t>
          </w:r>
        </w:p>
        <w:p>
          <w:pPr>
            <w:pStyle w:val="178"/>
            <w:spacing w:before="3" w:beforeLines="1" w:after="680"/>
          </w:pPr>
          <w:r>
            <w:rPr>
              <w:rFonts w:hint="eastAsia"/>
            </w:rPr>
            <w:t>第</w:t>
          </w:r>
          <w:r>
            <w:t>6部分：健康随访中心</w:t>
          </w:r>
        </w:p>
      </w:sdtContent>
    </w:sdt>
    <w:bookmarkEnd w:id="35"/>
    <w:p>
      <w:pPr>
        <w:pStyle w:val="105"/>
        <w:spacing w:before="312" w:after="312"/>
      </w:pPr>
      <w:bookmarkStart w:id="36" w:name="_Toc168996828"/>
      <w:bookmarkStart w:id="37" w:name="_Toc26648465"/>
      <w:bookmarkStart w:id="38" w:name="_Toc26986530"/>
      <w:bookmarkStart w:id="39" w:name="_Toc17233333"/>
      <w:bookmarkStart w:id="40" w:name="_Toc24884218"/>
      <w:bookmarkStart w:id="41" w:name="_Toc24884211"/>
      <w:bookmarkStart w:id="42" w:name="_Toc174032217"/>
      <w:bookmarkStart w:id="43" w:name="_Toc26718930"/>
      <w:bookmarkStart w:id="44" w:name="_Toc174032155"/>
      <w:bookmarkStart w:id="45" w:name="_Toc164497870"/>
      <w:bookmarkStart w:id="46" w:name="_Toc97191423"/>
      <w:bookmarkStart w:id="47" w:name="_Toc26986771"/>
      <w:bookmarkStart w:id="48" w:name="_Toc174032276"/>
      <w:bookmarkStart w:id="49" w:name="_Toc163899587"/>
      <w:bookmarkStart w:id="50" w:name="_Toc17233325"/>
      <w:r>
        <w:rPr>
          <w:rFonts w:hint="eastAsia"/>
        </w:rPr>
        <w:t>范围</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pPr>
        <w:pStyle w:val="57"/>
        <w:ind w:firstLine="420"/>
      </w:pPr>
      <w:bookmarkStart w:id="51" w:name="_Toc164497871"/>
      <w:bookmarkStart w:id="52" w:name="_Toc17233334"/>
      <w:bookmarkStart w:id="53" w:name="_Toc26986531"/>
      <w:bookmarkStart w:id="54" w:name="_Toc26986772"/>
      <w:bookmarkStart w:id="55" w:name="_Toc17233326"/>
      <w:bookmarkStart w:id="56" w:name="_Toc163899588"/>
      <w:bookmarkStart w:id="57" w:name="_Toc97191424"/>
      <w:bookmarkStart w:id="58" w:name="_Toc26718931"/>
      <w:bookmarkStart w:id="59" w:name="_Toc24884212"/>
      <w:bookmarkStart w:id="60" w:name="_Toc26648466"/>
      <w:bookmarkStart w:id="61" w:name="_Toc24884219"/>
      <w:r>
        <w:rPr>
          <w:rFonts w:hint="eastAsia"/>
        </w:rPr>
        <w:t>本文件规定了县级（区域）医疗</w:t>
      </w:r>
      <w:r>
        <w:rPr>
          <w:rFonts w:hint="eastAsia"/>
          <w:lang w:val="en-US" w:eastAsia="zh-CN"/>
        </w:rPr>
        <w:t>集中化运行规范</w:t>
      </w:r>
      <w:r>
        <w:rPr>
          <w:rFonts w:hint="eastAsia"/>
        </w:rPr>
        <w:t xml:space="preserve"> 第6部分：健康随访中心的建设要求、运营和管理。</w:t>
      </w:r>
    </w:p>
    <w:p>
      <w:pPr>
        <w:pStyle w:val="57"/>
        <w:ind w:firstLine="420"/>
      </w:pPr>
      <w:r>
        <w:rPr>
          <w:rFonts w:hint="eastAsia"/>
        </w:rPr>
        <w:t>本文件适用于县级（区域）健康随访中心的整体规划、建设管理。</w:t>
      </w:r>
    </w:p>
    <w:p>
      <w:pPr>
        <w:pStyle w:val="105"/>
        <w:spacing w:before="312" w:after="312"/>
      </w:pPr>
      <w:bookmarkStart w:id="62" w:name="_Toc174032156"/>
      <w:bookmarkStart w:id="63" w:name="_Toc174032277"/>
      <w:bookmarkStart w:id="64" w:name="_Toc168996829"/>
      <w:bookmarkStart w:id="65" w:name="_Toc174032218"/>
      <w:r>
        <w:rPr>
          <w:rFonts w:hint="eastAsia"/>
        </w:rPr>
        <w:t>规范性引用文件</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sdt>
      <w:sdtPr>
        <w:rPr>
          <w:rFonts w:hint="eastAsia"/>
        </w:rPr>
        <w:id w:val="715848253"/>
        <w:placeholder>
          <w:docPart w:val="56A509C3699A4EE1BDCAA8CBDD7BE33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pPr>
      <w:r>
        <w:t>GB/T 28827.8</w:t>
      </w:r>
      <w:r>
        <w:rPr>
          <w:rFonts w:hint="eastAsia"/>
        </w:rPr>
        <w:t>《信息技术服务 运行维护 第8部分：医院信息系统管理要求》</w:t>
      </w:r>
    </w:p>
    <w:p>
      <w:pPr>
        <w:pStyle w:val="57"/>
        <w:ind w:firstLine="420"/>
      </w:pPr>
      <w:r>
        <w:rPr>
          <w:rFonts w:hint="eastAsia"/>
        </w:rPr>
        <w:t>GB/T 32914 《信息安全技术 网络安全服务能力要求》</w:t>
      </w:r>
      <w:bookmarkStart w:id="66" w:name="_Toc97191425"/>
      <w:bookmarkStart w:id="67" w:name="_Toc163899589"/>
    </w:p>
    <w:p>
      <w:pPr>
        <w:pStyle w:val="57"/>
        <w:ind w:firstLine="420"/>
      </w:pPr>
      <w:r>
        <w:t>WS/T 517-2016</w:t>
      </w:r>
      <w:r>
        <w:rPr>
          <w:rFonts w:hint="eastAsia"/>
        </w:rPr>
        <w:t xml:space="preserve"> 《基层医疗卫生信息系统基本功能规范》</w:t>
      </w:r>
    </w:p>
    <w:p>
      <w:pPr>
        <w:pStyle w:val="57"/>
        <w:ind w:firstLine="420"/>
      </w:pPr>
      <w:r>
        <w:rPr>
          <w:rFonts w:hint="eastAsia"/>
        </w:rPr>
        <w:t>WS/T 502-2016 《电子健康档案与区域卫生信息平台标准符合性测试规范》</w:t>
      </w:r>
    </w:p>
    <w:p>
      <w:pPr>
        <w:pStyle w:val="105"/>
        <w:spacing w:before="312" w:after="312"/>
      </w:pPr>
      <w:bookmarkStart w:id="68" w:name="_Toc168996830"/>
      <w:bookmarkStart w:id="69" w:name="_Toc174032157"/>
      <w:bookmarkStart w:id="70" w:name="_Toc164497872"/>
      <w:bookmarkStart w:id="71" w:name="_Toc174032278"/>
      <w:bookmarkStart w:id="72" w:name="_Toc174032219"/>
      <w:r>
        <w:rPr>
          <w:rFonts w:hint="eastAsia"/>
          <w:szCs w:val="21"/>
        </w:rPr>
        <w:t>术语和定义</w:t>
      </w:r>
      <w:bookmarkEnd w:id="66"/>
      <w:bookmarkEnd w:id="67"/>
      <w:bookmarkEnd w:id="68"/>
      <w:bookmarkEnd w:id="69"/>
      <w:bookmarkEnd w:id="70"/>
      <w:bookmarkEnd w:id="71"/>
      <w:bookmarkEnd w:id="72"/>
    </w:p>
    <w:sdt>
      <w:sdtPr>
        <w:id w:val="-1909835108"/>
        <w:placeholder>
          <w:docPart w:val="AA6139626B024A2DB52DCA09C5BC8AA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73" w:name="_Toc26986532"/>
          <w:bookmarkEnd w:id="73"/>
          <w:r>
            <w:t>下列术语和定义适用于本文件。</w:t>
          </w:r>
        </w:p>
      </w:sdtContent>
    </w:sdt>
    <w:p>
      <w:pPr>
        <w:pStyle w:val="224"/>
        <w:ind w:left="420" w:hanging="420" w:hangingChars="200"/>
        <w:rPr>
          <w:rFonts w:ascii="黑体" w:hAnsi="黑体" w:eastAsia="黑体"/>
        </w:rPr>
      </w:pPr>
      <w:bookmarkStart w:id="74" w:name="_Toc163899590"/>
      <w:bookmarkStart w:id="75" w:name="_Toc164497873"/>
      <w:r>
        <w:rPr>
          <w:rFonts w:ascii="黑体" w:hAnsi="黑体" w:eastAsia="黑体"/>
        </w:rPr>
        <w:br w:type="textWrapping"/>
      </w:r>
      <w:r>
        <w:rPr>
          <w:rFonts w:hint="eastAsia" w:ascii="黑体" w:hAnsi="黑体" w:eastAsia="黑体"/>
        </w:rPr>
        <w:t xml:space="preserve">县域医共体 </w:t>
      </w:r>
      <w:r>
        <w:rPr>
          <w:rFonts w:ascii="黑体" w:hAnsi="黑体" w:eastAsia="黑体"/>
        </w:rPr>
        <w:t xml:space="preserve"> </w:t>
      </w:r>
      <w:r>
        <w:rPr>
          <w:rFonts w:hint="eastAsia" w:ascii="黑体" w:hAnsi="黑体" w:eastAsia="黑体"/>
        </w:rPr>
        <w:t>county threshold medical community</w:t>
      </w:r>
    </w:p>
    <w:p>
      <w:pPr>
        <w:spacing w:line="240" w:lineRule="auto"/>
        <w:ind w:right="11" w:firstLine="420" w:firstLineChars="200"/>
      </w:pPr>
      <w:r>
        <w:rPr>
          <w:rFonts w:hint="eastAsia" w:ascii="Times New Roman" w:hAnsi="Times New Roman"/>
          <w:szCs w:val="24"/>
        </w:rPr>
        <w:t>县域医共体是指以县级医院为龙头，乡镇卫生院为枢纽、</w:t>
      </w:r>
      <w:r>
        <w:rPr>
          <w:rFonts w:ascii="Times New Roman" w:hAnsi="Times New Roman"/>
          <w:szCs w:val="24"/>
        </w:rPr>
        <w:t>村卫生室为基础</w:t>
      </w:r>
      <w:r>
        <w:rPr>
          <w:rFonts w:hint="eastAsia" w:ascii="Times New Roman" w:hAnsi="Times New Roman"/>
          <w:szCs w:val="24"/>
        </w:rPr>
        <w:t>，</w:t>
      </w:r>
      <w:r>
        <w:rPr>
          <w:rFonts w:ascii="Times New Roman" w:hAnsi="Times New Roman"/>
          <w:szCs w:val="24"/>
        </w:rPr>
        <w:t>县</w:t>
      </w:r>
      <w:r>
        <w:rPr>
          <w:rFonts w:hint="eastAsia" w:ascii="Times New Roman" w:hAnsi="Times New Roman"/>
          <w:szCs w:val="24"/>
        </w:rPr>
        <w:t>-</w:t>
      </w:r>
      <w:r>
        <w:rPr>
          <w:rFonts w:ascii="Times New Roman" w:hAnsi="Times New Roman"/>
          <w:szCs w:val="24"/>
        </w:rPr>
        <w:t>乡</w:t>
      </w:r>
      <w:r>
        <w:rPr>
          <w:rFonts w:hint="eastAsia" w:ascii="Times New Roman" w:hAnsi="Times New Roman"/>
          <w:szCs w:val="24"/>
        </w:rPr>
        <w:t>-</w:t>
      </w:r>
      <w:r>
        <w:rPr>
          <w:rFonts w:ascii="Times New Roman" w:hAnsi="Times New Roman"/>
          <w:szCs w:val="24"/>
        </w:rPr>
        <w:t>村三级医疗卫生机构分工协作、三级联动的县域医疗服务体系。</w:t>
      </w:r>
    </w:p>
    <w:p>
      <w:pPr>
        <w:pStyle w:val="224"/>
        <w:ind w:left="420" w:hanging="420" w:hangingChars="200"/>
        <w:rPr>
          <w:rFonts w:ascii="黑体" w:hAnsi="黑体" w:eastAsia="黑体"/>
        </w:rPr>
      </w:pPr>
      <w:r>
        <w:rPr>
          <w:rFonts w:ascii="黑体" w:hAnsi="黑体" w:eastAsia="黑体"/>
          <w:color w:val="000000"/>
          <w:highlight w:val="lightGray"/>
          <w14:scene3d>
            <w14:lightRig w14:rig="threePt" w14:dir="t">
              <w14:rot w14:lat="0" w14:lon="0" w14:rev="0"/>
            </w14:lightRig>
          </w14:scene3d>
        </w:rPr>
        <w:br w:type="textWrapping"/>
      </w:r>
      <w:r>
        <w:rPr>
          <w:rFonts w:hint="eastAsia" w:ascii="黑体" w:hAnsi="黑体" w:eastAsia="黑体"/>
        </w:rPr>
        <w:t>健康随访  health</w:t>
      </w:r>
      <w:r>
        <w:rPr>
          <w:rFonts w:ascii="黑体" w:hAnsi="黑体" w:eastAsia="黑体"/>
        </w:rPr>
        <w:t xml:space="preserve"> </w:t>
      </w:r>
      <w:bookmarkEnd w:id="74"/>
      <w:r>
        <w:rPr>
          <w:rFonts w:hint="eastAsia" w:ascii="黑体" w:hAnsi="黑体" w:eastAsia="黑体"/>
        </w:rPr>
        <w:t>follow</w:t>
      </w:r>
      <w:r>
        <w:rPr>
          <w:rFonts w:ascii="黑体" w:hAnsi="黑体" w:eastAsia="黑体"/>
        </w:rPr>
        <w:t>-</w:t>
      </w:r>
      <w:r>
        <w:rPr>
          <w:rFonts w:hint="eastAsia" w:ascii="黑体" w:hAnsi="黑体" w:eastAsia="黑体"/>
        </w:rPr>
        <w:t>up</w:t>
      </w:r>
      <w:bookmarkEnd w:id="75"/>
    </w:p>
    <w:p>
      <w:pPr>
        <w:tabs>
          <w:tab w:val="center" w:pos="4154"/>
          <w:tab w:val="right" w:pos="8306"/>
        </w:tabs>
        <w:spacing w:line="240" w:lineRule="auto"/>
        <w:ind w:firstLine="420" w:firstLineChars="200"/>
        <w:jc w:val="left"/>
        <w:rPr>
          <w:rFonts w:ascii="宋体"/>
          <w:kern w:val="0"/>
          <w:szCs w:val="22"/>
        </w:rPr>
      </w:pPr>
      <w:r>
        <w:rPr>
          <w:rFonts w:hint="eastAsia" w:ascii="宋体"/>
          <w:kern w:val="0"/>
          <w:szCs w:val="22"/>
        </w:rPr>
        <w:t>在特定区域范围内，专业人员通过对个体或群体健康状况及影响健康的危险因素进行全面检测、评估、有效干预与连续跟踪服务的医学行为和过程。</w:t>
      </w:r>
      <w:bookmarkStart w:id="76" w:name="_Toc164497874"/>
      <w:bookmarkStart w:id="77" w:name="_Toc163899591"/>
    </w:p>
    <w:p>
      <w:pPr>
        <w:pStyle w:val="224"/>
        <w:ind w:left="420" w:hanging="420" w:hangingChars="200"/>
        <w:rPr>
          <w:rFonts w:ascii="黑体" w:hAnsi="黑体" w:eastAsia="黑体"/>
        </w:rPr>
      </w:pPr>
      <w:r>
        <w:rPr>
          <w:rFonts w:ascii="黑体" w:hAnsi="黑体" w:eastAsia="黑体"/>
          <w:color w:val="000000"/>
          <w:highlight w:val="lightGray"/>
          <w14:scene3d>
            <w14:lightRig w14:rig="threePt" w14:dir="t">
              <w14:rot w14:lat="0" w14:lon="0" w14:rev="0"/>
            </w14:lightRig>
          </w14:scene3d>
        </w:rPr>
        <w:br w:type="textWrapping"/>
      </w:r>
      <w:r>
        <w:rPr>
          <w:rFonts w:hint="eastAsia" w:ascii="黑体" w:hAnsi="黑体" w:eastAsia="黑体"/>
        </w:rPr>
        <w:t>健康随访中心</w:t>
      </w:r>
      <w:r>
        <w:rPr>
          <w:rFonts w:ascii="黑体" w:hAnsi="黑体" w:eastAsia="黑体"/>
        </w:rPr>
        <w:t xml:space="preserve">  </w:t>
      </w:r>
      <w:r>
        <w:rPr>
          <w:rFonts w:hint="eastAsia" w:ascii="黑体" w:hAnsi="黑体" w:eastAsia="黑体"/>
        </w:rPr>
        <w:t>health follow</w:t>
      </w:r>
      <w:r>
        <w:rPr>
          <w:rFonts w:ascii="黑体" w:hAnsi="黑体" w:eastAsia="黑体"/>
        </w:rPr>
        <w:t>-</w:t>
      </w:r>
      <w:r>
        <w:rPr>
          <w:rFonts w:hint="eastAsia" w:ascii="黑体" w:hAnsi="黑体" w:eastAsia="黑体"/>
        </w:rPr>
        <w:t>up center</w:t>
      </w:r>
      <w:bookmarkEnd w:id="76"/>
      <w:bookmarkEnd w:id="77"/>
    </w:p>
    <w:p>
      <w:pPr>
        <w:pStyle w:val="57"/>
        <w:ind w:firstLine="420"/>
      </w:pPr>
      <w:r>
        <w:rPr>
          <w:rFonts w:hint="eastAsia"/>
        </w:rPr>
        <w:t>依法获得健康主管部门批准认可从事健康随访管理的医疗机构。</w:t>
      </w:r>
      <w:bookmarkStart w:id="78" w:name="_Toc163899592"/>
      <w:bookmarkStart w:id="79" w:name="_Toc164497875"/>
    </w:p>
    <w:p>
      <w:pPr>
        <w:pStyle w:val="224"/>
        <w:ind w:left="420" w:hanging="420" w:hangingChars="200"/>
        <w:rPr>
          <w:rFonts w:ascii="黑体" w:hAnsi="黑体" w:eastAsia="黑体"/>
        </w:rPr>
      </w:pPr>
      <w:r>
        <w:rPr>
          <w:rFonts w:ascii="黑体" w:hAnsi="黑体" w:eastAsia="黑体"/>
          <w:color w:val="000000"/>
          <w:highlight w:val="lightGray"/>
          <w14:scene3d>
            <w14:lightRig w14:rig="threePt" w14:dir="t">
              <w14:rot w14:lat="0" w14:lon="0" w14:rev="0"/>
            </w14:lightRig>
          </w14:scene3d>
        </w:rPr>
        <w:br w:type="textWrapping"/>
      </w:r>
      <w:r>
        <w:rPr>
          <w:rFonts w:hint="eastAsia" w:ascii="黑体" w:hAnsi="黑体" w:eastAsia="黑体"/>
        </w:rPr>
        <w:t>健康随访服务同质化  homogenization of health follow-up services</w:t>
      </w:r>
      <w:bookmarkEnd w:id="78"/>
      <w:bookmarkEnd w:id="79"/>
    </w:p>
    <w:p>
      <w:pPr>
        <w:pStyle w:val="57"/>
        <w:ind w:firstLine="420"/>
      </w:pPr>
      <w:r>
        <w:rPr>
          <w:rFonts w:hint="eastAsia"/>
        </w:rPr>
        <w:t>在同一个区域内不同机构或团体间，各医疗机构的随访服务达到同等标准和质量。</w:t>
      </w:r>
      <w:bookmarkStart w:id="80" w:name="_Toc163899593"/>
      <w:bookmarkStart w:id="81" w:name="_Toc164497876"/>
    </w:p>
    <w:p>
      <w:pPr>
        <w:pStyle w:val="224"/>
        <w:ind w:left="420" w:hanging="420" w:hangingChars="200"/>
        <w:rPr>
          <w:rFonts w:ascii="黑体" w:hAnsi="黑体" w:eastAsia="黑体"/>
        </w:rPr>
      </w:pPr>
      <w:r>
        <w:rPr>
          <w:rFonts w:ascii="黑体" w:hAnsi="黑体" w:eastAsia="黑体"/>
          <w:color w:val="000000"/>
          <w:highlight w:val="lightGray"/>
          <w14:scene3d>
            <w14:lightRig w14:rig="threePt" w14:dir="t">
              <w14:rot w14:lat="0" w14:lon="0" w14:rev="0"/>
            </w14:lightRig>
          </w14:scene3d>
        </w:rPr>
        <w:br w:type="textWrapping"/>
      </w:r>
      <w:r>
        <w:rPr>
          <w:rFonts w:hint="eastAsia" w:ascii="黑体" w:hAnsi="黑体" w:eastAsia="黑体"/>
        </w:rPr>
        <w:t xml:space="preserve">电子健康档案 </w:t>
      </w:r>
      <w:r>
        <w:rPr>
          <w:rFonts w:ascii="黑体" w:hAnsi="黑体" w:eastAsia="黑体"/>
        </w:rPr>
        <w:t xml:space="preserve"> </w:t>
      </w:r>
      <w:r>
        <w:rPr>
          <w:rFonts w:hint="eastAsia" w:ascii="黑体" w:hAnsi="黑体" w:eastAsia="黑体"/>
        </w:rPr>
        <w:t>electronic</w:t>
      </w:r>
      <w:r>
        <w:rPr>
          <w:rFonts w:ascii="黑体" w:hAnsi="黑体" w:eastAsia="黑体"/>
        </w:rPr>
        <w:t xml:space="preserve"> </w:t>
      </w:r>
      <w:r>
        <w:rPr>
          <w:rFonts w:hint="eastAsia" w:ascii="黑体" w:hAnsi="黑体" w:eastAsia="黑体"/>
        </w:rPr>
        <w:t>health</w:t>
      </w:r>
      <w:r>
        <w:rPr>
          <w:rFonts w:ascii="黑体" w:hAnsi="黑体" w:eastAsia="黑体"/>
        </w:rPr>
        <w:t xml:space="preserve"> </w:t>
      </w:r>
      <w:r>
        <w:rPr>
          <w:rFonts w:hint="eastAsia" w:ascii="黑体" w:hAnsi="黑体" w:eastAsia="黑体"/>
        </w:rPr>
        <w:t>record</w:t>
      </w:r>
      <w:bookmarkEnd w:id="80"/>
      <w:r>
        <w:rPr>
          <w:rFonts w:hint="eastAsia" w:ascii="黑体" w:hAnsi="黑体" w:eastAsia="黑体"/>
        </w:rPr>
        <w:t>s</w:t>
      </w:r>
      <w:bookmarkEnd w:id="81"/>
    </w:p>
    <w:p>
      <w:pPr>
        <w:pStyle w:val="57"/>
        <w:ind w:firstLine="420"/>
      </w:pPr>
      <w:r>
        <w:rPr>
          <w:rFonts w:hint="eastAsia"/>
        </w:rPr>
        <w:t>电子化的居民健康档案，是关于医疗保健对象健康状况的信息资源库，该信息资源库以计算机可处理的形式存在，并且能够存储和传输，各级授权用户均可访问。本文件中电子健康档案简称健康档案。</w:t>
      </w:r>
    </w:p>
    <w:p>
      <w:pPr>
        <w:pStyle w:val="57"/>
        <w:ind w:firstLine="420"/>
      </w:pPr>
      <w:r>
        <w:t>[</w:t>
      </w:r>
      <w:r>
        <w:rPr>
          <w:rFonts w:hint="eastAsia"/>
        </w:rPr>
        <w:t>来源：</w:t>
      </w:r>
      <w:r>
        <w:t xml:space="preserve">WS/T 517-2016 3.2 </w:t>
      </w:r>
      <w:r>
        <w:rPr>
          <w:rFonts w:hint="eastAsia"/>
        </w:rPr>
        <w:t>有修改]</w:t>
      </w:r>
      <w:bookmarkStart w:id="82" w:name="_Toc163899594"/>
      <w:bookmarkStart w:id="83" w:name="_Toc164497877"/>
    </w:p>
    <w:p>
      <w:pPr>
        <w:pStyle w:val="224"/>
        <w:ind w:left="420" w:hanging="420" w:hangingChars="200"/>
        <w:rPr>
          <w:rFonts w:ascii="黑体" w:hAnsi="黑体" w:eastAsia="黑体"/>
        </w:rPr>
      </w:pPr>
      <w:r>
        <w:rPr>
          <w:rFonts w:ascii="黑体" w:hAnsi="黑体" w:eastAsia="黑体"/>
          <w:color w:val="000000"/>
          <w:highlight w:val="lightGray"/>
          <w14:scene3d>
            <w14:lightRig w14:rig="threePt" w14:dir="t">
              <w14:rot w14:lat="0" w14:lon="0" w14:rev="0"/>
            </w14:lightRig>
          </w14:scene3d>
        </w:rPr>
        <w:br w:type="textWrapping"/>
      </w:r>
      <w:r>
        <w:rPr>
          <w:rFonts w:hint="eastAsia" w:ascii="黑体" w:hAnsi="黑体" w:eastAsia="黑体"/>
        </w:rPr>
        <w:t>健康积分  health point</w:t>
      </w:r>
      <w:bookmarkEnd w:id="82"/>
      <w:r>
        <w:rPr>
          <w:rFonts w:hint="eastAsia" w:ascii="黑体" w:hAnsi="黑体" w:eastAsia="黑体"/>
        </w:rPr>
        <w:t>s</w:t>
      </w:r>
      <w:bookmarkEnd w:id="83"/>
    </w:p>
    <w:p>
      <w:pPr>
        <w:pStyle w:val="57"/>
        <w:ind w:firstLine="420"/>
      </w:pPr>
      <w:r>
        <w:rPr>
          <w:rFonts w:hint="eastAsia"/>
        </w:rPr>
        <w:t>通过对个人健康行为或健康服务的参与度的评估,给予相应积分，积分满额后可以兑换相应健康服务或者健康产品。</w:t>
      </w:r>
      <w:bookmarkStart w:id="84" w:name="_Toc164497878"/>
    </w:p>
    <w:p>
      <w:pPr>
        <w:pStyle w:val="224"/>
        <w:ind w:left="420" w:hanging="420" w:hangingChars="200"/>
        <w:rPr>
          <w:rFonts w:ascii="黑体" w:hAnsi="黑体" w:eastAsia="黑体"/>
        </w:rPr>
      </w:pPr>
      <w:r>
        <w:rPr>
          <w:rFonts w:ascii="黑体" w:hAnsi="黑体" w:eastAsia="黑体"/>
          <w:color w:val="000000"/>
          <w:highlight w:val="lightGray"/>
          <w14:scene3d>
            <w14:lightRig w14:rig="threePt" w14:dir="t">
              <w14:rot w14:lat="0" w14:lon="0" w14:rev="0"/>
            </w14:lightRig>
          </w14:scene3d>
        </w:rPr>
        <w:br w:type="textWrapping"/>
      </w:r>
      <w:r>
        <w:rPr>
          <w:rFonts w:hint="eastAsia" w:ascii="黑体" w:hAnsi="黑体" w:eastAsia="黑体"/>
        </w:rPr>
        <w:t xml:space="preserve">健康穿戴设备 </w:t>
      </w:r>
      <w:r>
        <w:rPr>
          <w:rFonts w:ascii="黑体" w:hAnsi="黑体" w:eastAsia="黑体"/>
        </w:rPr>
        <w:t xml:space="preserve"> </w:t>
      </w:r>
      <w:r>
        <w:rPr>
          <w:rFonts w:hint="eastAsia" w:ascii="黑体" w:hAnsi="黑体" w:eastAsia="黑体"/>
        </w:rPr>
        <w:t>wearable</w:t>
      </w:r>
      <w:r>
        <w:rPr>
          <w:rFonts w:ascii="黑体" w:hAnsi="黑体" w:eastAsia="黑体"/>
        </w:rPr>
        <w:t xml:space="preserve"> </w:t>
      </w:r>
      <w:r>
        <w:rPr>
          <w:rFonts w:hint="eastAsia" w:ascii="黑体" w:hAnsi="黑体" w:eastAsia="黑体"/>
        </w:rPr>
        <w:t>health</w:t>
      </w:r>
      <w:r>
        <w:rPr>
          <w:rFonts w:ascii="黑体" w:hAnsi="黑体" w:eastAsia="黑体"/>
        </w:rPr>
        <w:t xml:space="preserve"> </w:t>
      </w:r>
      <w:r>
        <w:rPr>
          <w:rFonts w:hint="eastAsia" w:ascii="黑体" w:hAnsi="黑体" w:eastAsia="黑体"/>
        </w:rPr>
        <w:t>devices</w:t>
      </w:r>
      <w:bookmarkEnd w:id="84"/>
    </w:p>
    <w:p>
      <w:pPr>
        <w:pStyle w:val="57"/>
        <w:ind w:firstLine="420"/>
      </w:pPr>
      <w:r>
        <w:rPr>
          <w:rFonts w:hint="eastAsia"/>
        </w:rPr>
        <w:t>把可穿戴技术应用于健康领域，对用于身体情况的监测、运动数据的统计及健康状况的改善的设备的统称。与健康管理中心互联互通，实时跟踪。</w:t>
      </w:r>
    </w:p>
    <w:p>
      <w:pPr>
        <w:pStyle w:val="105"/>
        <w:spacing w:before="312" w:after="312"/>
      </w:pPr>
      <w:bookmarkStart w:id="85" w:name="_Toc163899595"/>
      <w:bookmarkStart w:id="86" w:name="_Toc164497879"/>
      <w:bookmarkStart w:id="87" w:name="_Toc174032220"/>
      <w:bookmarkStart w:id="88" w:name="_Toc174032158"/>
      <w:bookmarkStart w:id="89" w:name="_Toc168996831"/>
      <w:bookmarkStart w:id="90" w:name="_Toc174032279"/>
      <w:r>
        <w:rPr>
          <w:rFonts w:hint="eastAsia"/>
        </w:rPr>
        <w:t>基本要求</w:t>
      </w:r>
      <w:bookmarkEnd w:id="85"/>
      <w:bookmarkEnd w:id="86"/>
      <w:bookmarkEnd w:id="87"/>
      <w:bookmarkEnd w:id="88"/>
      <w:bookmarkEnd w:id="89"/>
      <w:bookmarkEnd w:id="90"/>
    </w:p>
    <w:p>
      <w:pPr>
        <w:pStyle w:val="57"/>
        <w:ind w:firstLine="420"/>
      </w:pPr>
      <w:r>
        <w:rPr>
          <w:rFonts w:hint="eastAsia"/>
        </w:rPr>
        <w:t>建设区域健康随访中心，构建“纵向到底、横向到边”的健康管理体系，发挥区域龙头医院辐射带动作用，以高质量服务满足群众多层次、多样化健康需求，实现优质医疗资源显著扩容和区域均衡配置。坚持以基层为重点的工作方针，适应乡村振兴战略要求，全面提高县域综合服务能力，加快紧密型医共体建设，让广大人民群众享有公平可及、系统连续的健康服务。</w:t>
      </w:r>
    </w:p>
    <w:p>
      <w:pPr>
        <w:pStyle w:val="133"/>
      </w:pPr>
      <w:r>
        <w:rPr>
          <w:rFonts w:hint="eastAsia"/>
        </w:rPr>
        <w:t>中心建设应按照功能划分区域,布局合理，满足服务需要。</w:t>
      </w:r>
    </w:p>
    <w:p>
      <w:pPr>
        <w:pStyle w:val="133"/>
      </w:pPr>
      <w:r>
        <w:rPr>
          <w:rFonts w:hint="eastAsia"/>
        </w:rPr>
        <w:t>建立统一领导、分级管理、职责明确的管理组织架构。</w:t>
      </w:r>
    </w:p>
    <w:p>
      <w:pPr>
        <w:pStyle w:val="133"/>
      </w:pPr>
      <w:r>
        <w:rPr>
          <w:rFonts w:hint="eastAsia"/>
        </w:rPr>
        <w:t>建立区域内部管理制度、工作流程、质量控制体系及培训考核评价机制。</w:t>
      </w:r>
    </w:p>
    <w:p>
      <w:pPr>
        <w:pStyle w:val="133"/>
      </w:pPr>
      <w:r>
        <w:rPr>
          <w:rFonts w:hint="eastAsia"/>
        </w:rPr>
        <w:t>配备完整的信息系统，包括数据库、服务器、客户端等设备。引入大数据和云计算技术，提升数据处理和存储能力。</w:t>
      </w:r>
    </w:p>
    <w:p>
      <w:pPr>
        <w:pStyle w:val="133"/>
      </w:pPr>
      <w:r>
        <w:rPr>
          <w:rFonts w:hint="eastAsia"/>
        </w:rPr>
        <w:t>建立严密的数据安全体系，包括权限管理、数据加密等措施，严格遵守相关法律法规，保护患者个人隐私。</w:t>
      </w:r>
    </w:p>
    <w:p>
      <w:pPr>
        <w:pStyle w:val="105"/>
        <w:spacing w:before="312" w:after="312"/>
      </w:pPr>
      <w:bookmarkStart w:id="91" w:name="_Toc163899597"/>
      <w:bookmarkStart w:id="92" w:name="_Toc168996832"/>
      <w:bookmarkStart w:id="93" w:name="_Toc174032221"/>
      <w:bookmarkStart w:id="94" w:name="_Toc164497880"/>
      <w:bookmarkStart w:id="95" w:name="_Toc174032280"/>
      <w:bookmarkStart w:id="96" w:name="_Toc174032159"/>
      <w:r>
        <w:rPr>
          <w:rFonts w:hint="eastAsia"/>
        </w:rPr>
        <w:t>设施设备</w:t>
      </w:r>
      <w:bookmarkEnd w:id="91"/>
      <w:r>
        <w:rPr>
          <w:rFonts w:hint="eastAsia"/>
        </w:rPr>
        <w:t>要求</w:t>
      </w:r>
      <w:bookmarkEnd w:id="92"/>
      <w:bookmarkEnd w:id="93"/>
      <w:bookmarkEnd w:id="94"/>
      <w:bookmarkEnd w:id="95"/>
      <w:bookmarkEnd w:id="96"/>
    </w:p>
    <w:p>
      <w:pPr>
        <w:pStyle w:val="163"/>
      </w:pPr>
      <w:r>
        <w:rPr>
          <w:rFonts w:hint="eastAsia"/>
        </w:rPr>
        <w:t>中心应建立设备管理的各项规章制度，制定标准操作规程。</w:t>
      </w:r>
    </w:p>
    <w:p>
      <w:pPr>
        <w:pStyle w:val="163"/>
      </w:pPr>
      <w:r>
        <w:rPr>
          <w:rFonts w:hint="eastAsia"/>
        </w:rPr>
        <w:t>中心应以满足工作顺畅为原则，根据具体工作点位数及并发量合理配置办公设备及服务器。办公设备包括但不限于电脑、基础软件、打印机、工作电话、显示大屏、服务器、系统软件、宽带网络等。</w:t>
      </w:r>
    </w:p>
    <w:p>
      <w:pPr>
        <w:pStyle w:val="163"/>
      </w:pPr>
      <w:r>
        <w:rPr>
          <w:rFonts w:hint="eastAsia"/>
        </w:rPr>
        <w:t>信息系统的规划、设计、开发、部署及应用应符合</w:t>
      </w:r>
      <w:r>
        <w:t>WS/T 517</w:t>
      </w:r>
      <w:r>
        <w:rPr>
          <w:rFonts w:hint="eastAsia"/>
        </w:rPr>
        <w:t>相关要求。</w:t>
      </w:r>
    </w:p>
    <w:p>
      <w:pPr>
        <w:pStyle w:val="163"/>
      </w:pPr>
      <w:r>
        <w:rPr>
          <w:rFonts w:hint="eastAsia"/>
        </w:rPr>
        <w:t>信息安全技术及网络安全服务应符合G</w:t>
      </w:r>
      <w:r>
        <w:t>B</w:t>
      </w:r>
      <w:r>
        <w:rPr>
          <w:rFonts w:hint="eastAsia"/>
        </w:rPr>
        <w:t>/</w:t>
      </w:r>
      <w:r>
        <w:t>T 32914</w:t>
      </w:r>
      <w:r>
        <w:rPr>
          <w:rFonts w:hint="eastAsia"/>
        </w:rPr>
        <w:t>相关规定。</w:t>
      </w:r>
    </w:p>
    <w:p>
      <w:pPr>
        <w:pStyle w:val="163"/>
      </w:pPr>
      <w:r>
        <w:rPr>
          <w:rFonts w:hint="eastAsia"/>
        </w:rPr>
        <w:t>信息系统的维护和日常运行管理应符合</w:t>
      </w:r>
      <w:r>
        <w:t>GB/T 28827.8</w:t>
      </w:r>
      <w:r>
        <w:rPr>
          <w:rFonts w:hint="eastAsia"/>
        </w:rPr>
        <w:t>相关要求。</w:t>
      </w:r>
    </w:p>
    <w:p>
      <w:pPr>
        <w:pStyle w:val="105"/>
        <w:spacing w:before="312" w:after="312"/>
      </w:pPr>
      <w:bookmarkStart w:id="97" w:name="_Toc174032160"/>
      <w:bookmarkStart w:id="98" w:name="_Toc174032222"/>
      <w:bookmarkStart w:id="99" w:name="_Toc174032281"/>
      <w:r>
        <w:rPr>
          <w:rFonts w:hint="eastAsia"/>
        </w:rPr>
        <w:t>组织架构</w:t>
      </w:r>
      <w:bookmarkEnd w:id="97"/>
      <w:bookmarkEnd w:id="98"/>
      <w:bookmarkEnd w:id="99"/>
    </w:p>
    <w:p>
      <w:pPr>
        <w:pStyle w:val="163"/>
      </w:pPr>
      <w:r>
        <w:rPr>
          <w:rFonts w:hint="eastAsia"/>
        </w:rPr>
        <w:t>健康随访中心主任：全面负责随访中心的运营管理、战略规划、资源调配及质量控制等工作。</w:t>
      </w:r>
    </w:p>
    <w:p>
      <w:pPr>
        <w:pStyle w:val="163"/>
      </w:pPr>
      <w:r>
        <w:rPr>
          <w:rFonts w:hint="eastAsia"/>
        </w:rPr>
        <w:t>随访管理团队：包括随访专员、数据分析员、健康教育师及心理咨询师等，负责具体执行随访计划、收集分析数据、提供健康指导及心理支持。</w:t>
      </w:r>
    </w:p>
    <w:p>
      <w:pPr>
        <w:pStyle w:val="163"/>
      </w:pPr>
      <w:r>
        <w:rPr>
          <w:rFonts w:hint="eastAsia"/>
        </w:rPr>
        <w:t>技术支持团队：负责随访系统的维护、升级及数据安全，确保随访过程的高效、准确。</w:t>
      </w:r>
    </w:p>
    <w:p>
      <w:pPr>
        <w:pStyle w:val="163"/>
      </w:pPr>
      <w:r>
        <w:rPr>
          <w:rFonts w:hint="eastAsia"/>
        </w:rPr>
        <w:t>质量监督与改进小组：定期评估随访工作效果，收集患者反馈，提出改进措施，持续优化随访流程。</w:t>
      </w:r>
    </w:p>
    <w:p>
      <w:pPr>
        <w:pStyle w:val="105"/>
        <w:spacing w:before="312" w:after="312"/>
      </w:pPr>
      <w:bookmarkStart w:id="100" w:name="_Toc174032282"/>
      <w:bookmarkStart w:id="101" w:name="_Toc174032161"/>
      <w:bookmarkStart w:id="102" w:name="_Toc174032223"/>
      <w:r>
        <w:rPr>
          <w:rFonts w:hint="eastAsia"/>
        </w:rPr>
        <w:t>人员配备标准与职责</w:t>
      </w:r>
      <w:bookmarkEnd w:id="100"/>
      <w:bookmarkEnd w:id="101"/>
      <w:bookmarkEnd w:id="102"/>
    </w:p>
    <w:p>
      <w:pPr>
        <w:pStyle w:val="133"/>
        <w:numPr>
          <w:ilvl w:val="0"/>
          <w:numId w:val="0"/>
        </w:numPr>
        <w:ind w:left="425"/>
      </w:pPr>
      <w:r>
        <w:rPr>
          <w:rFonts w:hint="eastAsia"/>
        </w:rPr>
        <w:t>具体要求如下：</w:t>
      </w:r>
    </w:p>
    <w:p>
      <w:pPr>
        <w:pStyle w:val="175"/>
      </w:pPr>
      <w:r>
        <w:rPr>
          <w:rFonts w:hint="eastAsia"/>
        </w:rPr>
        <w:t>随访中心主任</w:t>
      </w:r>
    </w:p>
    <w:p>
      <w:pPr>
        <w:pStyle w:val="110"/>
      </w:pPr>
      <w:r>
        <w:rPr>
          <w:rFonts w:hint="eastAsia"/>
        </w:rPr>
        <w:t>任职资格：具备丰富的医疗管理经验，熟悉医疗业务流程及患者服务，有良好的组织协调能力和领导力。</w:t>
      </w:r>
    </w:p>
    <w:p>
      <w:pPr>
        <w:pStyle w:val="110"/>
      </w:pPr>
      <w:r>
        <w:rPr>
          <w:rFonts w:hint="eastAsia"/>
        </w:rPr>
        <w:t>主要职责：制定随访中心发展规划，监督执行各项随访制度；协调跨部门合作，确保随访工作顺利进行；定期评估随访效果，优化服务流程。</w:t>
      </w:r>
    </w:p>
    <w:p>
      <w:pPr>
        <w:pStyle w:val="175"/>
      </w:pPr>
      <w:r>
        <w:rPr>
          <w:rFonts w:hint="eastAsia"/>
        </w:rPr>
        <w:t>随访专员</w:t>
      </w:r>
    </w:p>
    <w:p>
      <w:pPr>
        <w:pStyle w:val="110"/>
        <w:numPr>
          <w:ilvl w:val="1"/>
          <w:numId w:val="32"/>
        </w:numPr>
      </w:pPr>
      <w:r>
        <w:rPr>
          <w:rFonts w:hint="eastAsia"/>
        </w:rPr>
        <w:t>任职资格：护理、医学或相关专业背景，具备良好的沟通能力和服务意识，熟悉常见疾病知识及康复指导原则。</w:t>
      </w:r>
    </w:p>
    <w:p>
      <w:pPr>
        <w:pStyle w:val="110"/>
      </w:pPr>
      <w:r>
        <w:rPr>
          <w:rFonts w:hint="eastAsia"/>
        </w:rPr>
        <w:t>主要职责：根据随访计划，定期联系患者，了解病情变化，提供健康指导；记录随访信息，及时更新患者档案；协助处理患者咨询与投诉。</w:t>
      </w:r>
    </w:p>
    <w:p>
      <w:pPr>
        <w:pStyle w:val="175"/>
      </w:pPr>
      <w:r>
        <w:rPr>
          <w:rFonts w:hint="eastAsia"/>
        </w:rPr>
        <w:t>数据分析员</w:t>
      </w:r>
    </w:p>
    <w:p>
      <w:pPr>
        <w:pStyle w:val="110"/>
        <w:numPr>
          <w:ilvl w:val="1"/>
          <w:numId w:val="33"/>
        </w:numPr>
      </w:pPr>
      <w:r>
        <w:rPr>
          <w:rFonts w:hint="eastAsia"/>
        </w:rPr>
        <w:t>任职资格：统计学、信息管理或相关专业背景，熟悉数据分析工具，具备良好的逻辑思维和数据处理能力。</w:t>
      </w:r>
    </w:p>
    <w:p>
      <w:pPr>
        <w:pStyle w:val="110"/>
      </w:pPr>
      <w:r>
        <w:rPr>
          <w:rFonts w:hint="eastAsia"/>
        </w:rPr>
        <w:t>主要职责：负责随访数据的收集、整理、分析及报告编制；为随访策略的调整提供数据支持；参与随访系统的优化升级工作。</w:t>
      </w:r>
    </w:p>
    <w:p>
      <w:pPr>
        <w:pStyle w:val="175"/>
      </w:pPr>
      <w:r>
        <w:rPr>
          <w:rFonts w:hint="eastAsia"/>
        </w:rPr>
        <w:t>健康教育师</w:t>
      </w:r>
    </w:p>
    <w:p>
      <w:pPr>
        <w:pStyle w:val="110"/>
        <w:numPr>
          <w:ilvl w:val="1"/>
          <w:numId w:val="34"/>
        </w:numPr>
      </w:pPr>
      <w:r>
        <w:rPr>
          <w:rFonts w:hint="eastAsia"/>
        </w:rPr>
        <w:t>任职资格：公共卫生、营养学、康复治疗或健康教育相关专业背景，具备丰富的健康教育经验和良好的授课技巧。</w:t>
      </w:r>
    </w:p>
    <w:p>
      <w:pPr>
        <w:pStyle w:val="110"/>
      </w:pPr>
      <w:r>
        <w:rPr>
          <w:rFonts w:hint="eastAsia"/>
        </w:rPr>
        <w:t>主要职责：根据患者病情和需求，制定个性化的健康教育计划；通过线上或线下方式，向患者及家属传授健康知识，提高自我管理能力。</w:t>
      </w:r>
    </w:p>
    <w:p>
      <w:pPr>
        <w:pStyle w:val="175"/>
      </w:pPr>
      <w:r>
        <w:rPr>
          <w:rFonts w:hint="eastAsia"/>
        </w:rPr>
        <w:t>心理咨询师</w:t>
      </w:r>
    </w:p>
    <w:p>
      <w:pPr>
        <w:pStyle w:val="110"/>
        <w:numPr>
          <w:ilvl w:val="1"/>
          <w:numId w:val="35"/>
        </w:numPr>
      </w:pPr>
      <w:r>
        <w:rPr>
          <w:rFonts w:hint="eastAsia"/>
        </w:rPr>
        <w:t>任职资格：心理学或相关专业背景，持有心理咨询师资格证书，具备良好的沟通能力和同理心。</w:t>
      </w:r>
    </w:p>
    <w:p>
      <w:pPr>
        <w:pStyle w:val="110"/>
      </w:pPr>
      <w:r>
        <w:rPr>
          <w:rFonts w:hint="eastAsia"/>
        </w:rPr>
        <w:t>主要职责：为有需要的患者提供心理咨询服务，缓解焦虑、抑郁等负面情绪；协助患者建立积极的心态，促进身心康复。</w:t>
      </w:r>
    </w:p>
    <w:p>
      <w:pPr>
        <w:pStyle w:val="175"/>
      </w:pPr>
      <w:r>
        <w:rPr>
          <w:rFonts w:hint="eastAsia"/>
        </w:rPr>
        <w:t>技术支持人员</w:t>
      </w:r>
    </w:p>
    <w:p>
      <w:pPr>
        <w:pStyle w:val="110"/>
        <w:numPr>
          <w:ilvl w:val="1"/>
          <w:numId w:val="36"/>
        </w:numPr>
      </w:pPr>
      <w:r>
        <w:rPr>
          <w:rFonts w:hint="eastAsia"/>
        </w:rPr>
        <w:t>任职资格：计算机科学、信息技术或相关专业背景，熟悉医疗信息化系统，具备良好的问题解决能力。</w:t>
      </w:r>
    </w:p>
    <w:p>
      <w:pPr>
        <w:pStyle w:val="110"/>
      </w:pPr>
      <w:r>
        <w:rPr>
          <w:rFonts w:hint="eastAsia"/>
        </w:rPr>
        <w:t>主要职责：负责随访系统的日常维护、升级及故障排查；确保系统稳定运行，数据安全可靠；为随访人员提供技术培训与支持。</w:t>
      </w:r>
    </w:p>
    <w:p>
      <w:pPr>
        <w:pStyle w:val="105"/>
        <w:spacing w:before="312" w:after="312"/>
      </w:pPr>
      <w:bookmarkStart w:id="103" w:name="_Toc163899600"/>
      <w:bookmarkStart w:id="104" w:name="_Toc174032283"/>
      <w:bookmarkStart w:id="105" w:name="_Toc164497883"/>
      <w:bookmarkStart w:id="106" w:name="_Toc174032224"/>
      <w:bookmarkStart w:id="107" w:name="_Toc168996835"/>
      <w:bookmarkStart w:id="108" w:name="_Toc174032162"/>
      <w:r>
        <w:rPr>
          <w:rFonts w:hint="eastAsia"/>
        </w:rPr>
        <w:t>中心</w:t>
      </w:r>
      <w:bookmarkEnd w:id="103"/>
      <w:r>
        <w:rPr>
          <w:rFonts w:hint="eastAsia"/>
        </w:rPr>
        <w:t>功能</w:t>
      </w:r>
      <w:bookmarkEnd w:id="104"/>
      <w:bookmarkEnd w:id="105"/>
      <w:bookmarkEnd w:id="106"/>
      <w:bookmarkEnd w:id="107"/>
      <w:bookmarkEnd w:id="108"/>
    </w:p>
    <w:p>
      <w:pPr>
        <w:pStyle w:val="106"/>
        <w:spacing w:before="156" w:after="156"/>
      </w:pPr>
      <w:bookmarkStart w:id="109" w:name="_Toc168996836"/>
      <w:bookmarkStart w:id="110" w:name="_Toc174032163"/>
      <w:bookmarkStart w:id="111" w:name="_Toc174032284"/>
      <w:bookmarkStart w:id="112" w:name="_Toc163899601"/>
      <w:bookmarkStart w:id="113" w:name="_Toc164497884"/>
      <w:r>
        <w:rPr>
          <w:rFonts w:hint="eastAsia"/>
        </w:rPr>
        <w:t>健康数据库</w:t>
      </w:r>
      <w:bookmarkEnd w:id="109"/>
      <w:bookmarkEnd w:id="110"/>
      <w:bookmarkEnd w:id="111"/>
      <w:bookmarkEnd w:id="112"/>
      <w:bookmarkEnd w:id="113"/>
    </w:p>
    <w:p>
      <w:pPr>
        <w:pStyle w:val="166"/>
      </w:pPr>
      <w:r>
        <w:rPr>
          <w:rFonts w:hint="eastAsia"/>
        </w:rPr>
        <w:t>由区域内诊疗系统、体检系统、公共卫生系统以及通过医防融合专项行动主动发现的管理对象构成。</w:t>
      </w:r>
    </w:p>
    <w:p>
      <w:pPr>
        <w:pStyle w:val="166"/>
      </w:pPr>
      <w:r>
        <w:rPr>
          <w:rFonts w:hint="eastAsia"/>
        </w:rPr>
        <w:t>数据库中管理对象的信息包括但不仅限于姓名、身份证号码、户籍所在地、居住地、管理机构、手机号码、主要健康问题、随访情况及建立健康档案《知情同意书》。</w:t>
      </w:r>
    </w:p>
    <w:p>
      <w:pPr>
        <w:pStyle w:val="106"/>
        <w:spacing w:before="156" w:after="156"/>
      </w:pPr>
      <w:bookmarkStart w:id="114" w:name="_Toc174032285"/>
      <w:bookmarkStart w:id="115" w:name="_Toc164497885"/>
      <w:bookmarkStart w:id="116" w:name="_Toc174032164"/>
      <w:bookmarkStart w:id="117" w:name="_Toc168996837"/>
      <w:bookmarkStart w:id="118" w:name="_Toc163899602"/>
      <w:r>
        <w:rPr>
          <w:rFonts w:hint="eastAsia"/>
        </w:rPr>
        <w:t>健康档案</w:t>
      </w:r>
      <w:bookmarkEnd w:id="114"/>
      <w:bookmarkEnd w:id="115"/>
      <w:bookmarkEnd w:id="116"/>
      <w:bookmarkEnd w:id="117"/>
      <w:bookmarkEnd w:id="118"/>
    </w:p>
    <w:p>
      <w:pPr>
        <w:pStyle w:val="57"/>
        <w:ind w:firstLine="420"/>
      </w:pPr>
      <w:r>
        <w:rPr>
          <w:rFonts w:hint="eastAsia"/>
        </w:rPr>
        <w:t>居民实行“一人一档案”，健康档案包括但不限于:人口学资料（如年龄、性别、教育程度、职业、婚姻、种族、社会经济状况等）；健康行为资料（如吸烟、饮酒、饮食习惯、运动等）；临床资料（如主诉、既往史、家族史、各项检查结果、免疫接种、健康体检记录及心理评估等资料）。</w:t>
      </w:r>
    </w:p>
    <w:p>
      <w:pPr>
        <w:pStyle w:val="106"/>
        <w:spacing w:before="156" w:after="156"/>
      </w:pPr>
      <w:bookmarkStart w:id="119" w:name="_Toc164497886"/>
      <w:bookmarkStart w:id="120" w:name="_Toc174032286"/>
      <w:bookmarkStart w:id="121" w:name="_Toc163899603"/>
      <w:bookmarkStart w:id="122" w:name="_Toc168996838"/>
      <w:bookmarkStart w:id="123" w:name="_Toc174032165"/>
      <w:bookmarkStart w:id="124" w:name="_Toc174032225"/>
      <w:r>
        <w:rPr>
          <w:rFonts w:hint="eastAsia"/>
        </w:rPr>
        <w:t>健康筛查</w:t>
      </w:r>
      <w:bookmarkEnd w:id="119"/>
      <w:bookmarkEnd w:id="120"/>
      <w:bookmarkEnd w:id="121"/>
      <w:bookmarkEnd w:id="122"/>
      <w:bookmarkEnd w:id="123"/>
      <w:bookmarkEnd w:id="124"/>
    </w:p>
    <w:p>
      <w:pPr>
        <w:pStyle w:val="57"/>
        <w:ind w:firstLine="420"/>
      </w:pPr>
      <w:r>
        <w:rPr>
          <w:rFonts w:hint="eastAsia"/>
        </w:rPr>
        <w:t>围绕重点病种、重点人群，对区域内需要健康干预的对象组织定期体检和检查，及时入库管理，推送个人健康档案。</w:t>
      </w:r>
    </w:p>
    <w:p>
      <w:pPr>
        <w:pStyle w:val="106"/>
        <w:spacing w:before="156" w:after="156"/>
      </w:pPr>
      <w:bookmarkStart w:id="125" w:name="_Toc164497887"/>
      <w:bookmarkStart w:id="126" w:name="_Toc168996839"/>
      <w:bookmarkStart w:id="127" w:name="_Toc163899604"/>
      <w:bookmarkStart w:id="128" w:name="_Toc174032287"/>
      <w:bookmarkStart w:id="129" w:name="_Toc174032166"/>
      <w:bookmarkStart w:id="130" w:name="_Toc174032226"/>
      <w:r>
        <w:rPr>
          <w:rFonts w:hint="eastAsia"/>
        </w:rPr>
        <w:t>健康随访</w:t>
      </w:r>
      <w:bookmarkEnd w:id="125"/>
      <w:bookmarkEnd w:id="126"/>
      <w:bookmarkEnd w:id="127"/>
      <w:bookmarkEnd w:id="128"/>
      <w:bookmarkEnd w:id="129"/>
      <w:bookmarkEnd w:id="130"/>
    </w:p>
    <w:p>
      <w:pPr>
        <w:pStyle w:val="57"/>
        <w:ind w:firstLine="420"/>
      </w:pPr>
      <w:r>
        <w:rPr>
          <w:rFonts w:hint="eastAsia"/>
        </w:rPr>
        <w:t>对已入库人员，根据设定的随访周期进行追踪和随访，提供必要的健康指导；根据患者病情和需求，安排相应的诊疗和转诊服务。随访形式包括但不仅限于公众号推送、短信通知、AI语音、人工电话回访及上门随访</w:t>
      </w:r>
      <w:r>
        <w:rPr>
          <w:rFonts w:hint="eastAsia"/>
          <w:szCs w:val="21"/>
        </w:rPr>
        <w:t>等。</w:t>
      </w:r>
    </w:p>
    <w:p>
      <w:pPr>
        <w:pStyle w:val="106"/>
        <w:spacing w:before="156" w:after="156"/>
      </w:pPr>
      <w:bookmarkStart w:id="131" w:name="_Toc174032227"/>
      <w:bookmarkStart w:id="132" w:name="_Toc168996840"/>
      <w:bookmarkStart w:id="133" w:name="_Toc164497888"/>
      <w:bookmarkStart w:id="134" w:name="_Toc163899605"/>
      <w:bookmarkStart w:id="135" w:name="_Toc174032167"/>
      <w:bookmarkStart w:id="136" w:name="_Toc174032288"/>
      <w:r>
        <w:rPr>
          <w:rFonts w:hint="eastAsia"/>
        </w:rPr>
        <w:t>健康处方</w:t>
      </w:r>
      <w:bookmarkEnd w:id="131"/>
      <w:bookmarkEnd w:id="132"/>
      <w:bookmarkEnd w:id="133"/>
      <w:bookmarkEnd w:id="134"/>
      <w:bookmarkEnd w:id="135"/>
      <w:bookmarkEnd w:id="136"/>
    </w:p>
    <w:p>
      <w:pPr>
        <w:pStyle w:val="57"/>
        <w:ind w:firstLine="420"/>
      </w:pPr>
      <w:r>
        <w:rPr>
          <w:rFonts w:hint="eastAsia" w:ascii="Times New Roman"/>
          <w:kern w:val="2"/>
          <w:szCs w:val="21"/>
        </w:rPr>
        <w:t>健康穿戴设备和随访结果可</w:t>
      </w:r>
      <w:r>
        <w:rPr>
          <w:rFonts w:hint="eastAsia"/>
        </w:rPr>
        <w:t>AI</w:t>
      </w:r>
      <w:r>
        <w:rPr>
          <w:rFonts w:hint="eastAsia" w:ascii="Times New Roman"/>
          <w:kern w:val="2"/>
          <w:szCs w:val="21"/>
        </w:rPr>
        <w:t>生成并发送健康处方</w:t>
      </w:r>
      <w:r>
        <w:rPr>
          <w:rFonts w:hint="eastAsia"/>
        </w:rPr>
        <w:t>，不同的主管医师可根据健康状况的个体化差异、有针对性为服务对象开具适合其自身需求的健康处方。</w:t>
      </w:r>
    </w:p>
    <w:p>
      <w:pPr>
        <w:pStyle w:val="106"/>
        <w:spacing w:before="156" w:after="156"/>
      </w:pPr>
      <w:bookmarkStart w:id="137" w:name="_Toc174032228"/>
      <w:bookmarkStart w:id="138" w:name="_Toc168996841"/>
      <w:bookmarkStart w:id="139" w:name="_Toc163899606"/>
      <w:bookmarkStart w:id="140" w:name="_Toc164497889"/>
      <w:bookmarkStart w:id="141" w:name="_Toc174032289"/>
      <w:bookmarkStart w:id="142" w:name="_Toc174032168"/>
      <w:r>
        <w:rPr>
          <w:rFonts w:hint="eastAsia"/>
        </w:rPr>
        <w:t>健康积分</w:t>
      </w:r>
      <w:bookmarkEnd w:id="137"/>
      <w:bookmarkEnd w:id="138"/>
      <w:bookmarkEnd w:id="139"/>
      <w:bookmarkEnd w:id="140"/>
      <w:bookmarkEnd w:id="141"/>
      <w:bookmarkEnd w:id="142"/>
    </w:p>
    <w:p>
      <w:pPr>
        <w:pStyle w:val="166"/>
      </w:pPr>
      <w:r>
        <w:rPr>
          <w:rFonts w:hint="eastAsia"/>
        </w:rPr>
        <w:t>居民健康积分可兑换健康物品或健康服务。居民获取健康积分的途径包括但不仅限于通过健康生活方式、执行健康处方、开展健康自测等。健康积分获取及兑换规则由各级医院自行制定。</w:t>
      </w:r>
    </w:p>
    <w:p>
      <w:pPr>
        <w:pStyle w:val="166"/>
      </w:pPr>
      <w:r>
        <w:rPr>
          <w:rFonts w:hint="eastAsia"/>
        </w:rPr>
        <w:t>医护人员获取积分的途径包括但不仅限于制定疾病管理路径、发送健康宣教、满意度调查及随访问卷等。健康积分获取及考核规则由各级医院自行制定。</w:t>
      </w:r>
    </w:p>
    <w:p>
      <w:pPr>
        <w:pStyle w:val="106"/>
        <w:spacing w:before="156" w:after="156"/>
      </w:pPr>
      <w:bookmarkStart w:id="143" w:name="_Toc163899607"/>
      <w:bookmarkStart w:id="144" w:name="_Toc168996842"/>
      <w:bookmarkStart w:id="145" w:name="_Toc164497890"/>
      <w:bookmarkStart w:id="146" w:name="_Toc174032169"/>
      <w:bookmarkStart w:id="147" w:name="_Toc174032229"/>
      <w:bookmarkStart w:id="148" w:name="_Toc174032290"/>
      <w:r>
        <w:rPr>
          <w:rFonts w:hint="eastAsia"/>
        </w:rPr>
        <w:t>健康穿戴</w:t>
      </w:r>
      <w:bookmarkEnd w:id="143"/>
      <w:r>
        <w:rPr>
          <w:rFonts w:hint="eastAsia"/>
        </w:rPr>
        <w:t>设备</w:t>
      </w:r>
      <w:bookmarkEnd w:id="144"/>
      <w:bookmarkEnd w:id="145"/>
      <w:bookmarkEnd w:id="146"/>
      <w:bookmarkEnd w:id="147"/>
      <w:bookmarkEnd w:id="148"/>
    </w:p>
    <w:p>
      <w:pPr>
        <w:pStyle w:val="57"/>
        <w:ind w:firstLine="420"/>
      </w:pPr>
      <w:r>
        <w:rPr>
          <w:rFonts w:hint="eastAsia"/>
        </w:rPr>
        <w:t>开发或引入健康穿戴设备（应具备健康提醒，监测心跳、脉搏等常规数据，紧急呼叫120三项主要功能），与健康管理中心互联互通，实时跟踪。鼓励符合条件的服务对象自主申请使用，自我连续进行健康管理。</w:t>
      </w:r>
    </w:p>
    <w:p>
      <w:pPr>
        <w:pStyle w:val="105"/>
        <w:spacing w:before="312" w:after="312"/>
      </w:pPr>
      <w:bookmarkStart w:id="149" w:name="_Toc174032291"/>
      <w:bookmarkStart w:id="150" w:name="_Toc174032170"/>
      <w:bookmarkStart w:id="151" w:name="_Toc174032230"/>
      <w:bookmarkStart w:id="152" w:name="_Toc164497891"/>
      <w:bookmarkStart w:id="153" w:name="_Toc168996843"/>
      <w:bookmarkStart w:id="154" w:name="_Toc163899608"/>
      <w:r>
        <w:rPr>
          <w:rFonts w:hint="eastAsia"/>
        </w:rPr>
        <w:t>质量控制</w:t>
      </w:r>
      <w:bookmarkEnd w:id="149"/>
      <w:bookmarkEnd w:id="150"/>
      <w:bookmarkEnd w:id="151"/>
      <w:bookmarkEnd w:id="152"/>
      <w:bookmarkEnd w:id="153"/>
      <w:bookmarkEnd w:id="154"/>
    </w:p>
    <w:bookmarkEnd w:id="34"/>
    <w:p>
      <w:pPr>
        <w:pStyle w:val="163"/>
      </w:pPr>
      <w:bookmarkStart w:id="155" w:name="BookMark6"/>
      <w:r>
        <w:rPr>
          <w:rFonts w:hint="eastAsia"/>
        </w:rPr>
        <w:t>制定随访标准操作流程，明确随访目的、内容、方式、频次等基本要求。</w:t>
      </w:r>
    </w:p>
    <w:p>
      <w:pPr>
        <w:pStyle w:val="163"/>
      </w:pPr>
      <w:r>
        <w:rPr>
          <w:rFonts w:hint="eastAsia"/>
        </w:rPr>
        <w:t>建立随访人员培训制度，对随访人员进行定期专业知识、沟通技巧、伦理道德等方面的培训。</w:t>
      </w:r>
    </w:p>
    <w:p>
      <w:pPr>
        <w:pStyle w:val="163"/>
      </w:pPr>
      <w:r>
        <w:rPr>
          <w:rFonts w:hint="eastAsia"/>
        </w:rPr>
        <w:t>实施考核认证机制，确保随访人员能胜任相应工作岗位要求，对不能满足岗位要求的人员制定相应的处理机制。</w:t>
      </w:r>
    </w:p>
    <w:p>
      <w:pPr>
        <w:pStyle w:val="163"/>
      </w:pPr>
      <w:r>
        <w:rPr>
          <w:rFonts w:hint="eastAsia"/>
        </w:rPr>
        <w:t>实施过程监控与评估，定期抽查随访记录，开展内部质量评审，评估随访服务的规范性、准确性和及时性。设立患者反馈机制，及时调整服务策略。</w:t>
      </w:r>
    </w:p>
    <w:p>
      <w:pPr>
        <w:pStyle w:val="64"/>
        <w:spacing w:after="156"/>
        <w:rPr>
          <w:spacing w:val="105"/>
        </w:rPr>
      </w:pPr>
      <w:bookmarkStart w:id="156" w:name="_Toc168996844"/>
    </w:p>
    <w:p>
      <w:pPr>
        <w:rPr>
          <w:spacing w:val="105"/>
        </w:rPr>
      </w:pPr>
    </w:p>
    <w:p>
      <w:pPr>
        <w:pStyle w:val="64"/>
        <w:spacing w:after="156"/>
      </w:pPr>
      <w:bookmarkStart w:id="157" w:name="_Toc174032292"/>
      <w:bookmarkStart w:id="158" w:name="_Toc174032231"/>
      <w:bookmarkStart w:id="159" w:name="_Toc174032171"/>
      <w:r>
        <w:rPr>
          <w:rFonts w:hint="eastAsia"/>
          <w:spacing w:val="105"/>
        </w:rPr>
        <w:t>参考文</w:t>
      </w:r>
      <w:r>
        <w:rPr>
          <w:rFonts w:hint="eastAsia"/>
        </w:rPr>
        <w:t>献</w:t>
      </w:r>
      <w:bookmarkEnd w:id="156"/>
      <w:bookmarkEnd w:id="157"/>
      <w:bookmarkEnd w:id="158"/>
      <w:bookmarkEnd w:id="159"/>
    </w:p>
    <w:p>
      <w:pPr>
        <w:pStyle w:val="57"/>
        <w:ind w:firstLine="420"/>
      </w:pPr>
      <w:r>
        <w:rPr>
          <w:rFonts w:hint="eastAsia"/>
        </w:rPr>
        <w:t>[</w:t>
      </w:r>
      <w:r>
        <w:t xml:space="preserve">1] </w:t>
      </w:r>
      <w:r>
        <w:rPr>
          <w:rFonts w:hint="eastAsia"/>
        </w:rPr>
        <w:t>《关于做好县域巡回医疗和驻派服务工作的指导意见》  国卫基层发{2023}5号</w:t>
      </w:r>
    </w:p>
    <w:p>
      <w:pPr>
        <w:pStyle w:val="57"/>
        <w:ind w:firstLine="420"/>
      </w:pPr>
      <w:r>
        <w:t xml:space="preserve">[2] </w:t>
      </w:r>
      <w:r>
        <w:rPr>
          <w:rFonts w:hint="eastAsia"/>
        </w:rPr>
        <w:t>《国家卫生健康委办公厅关于印发基层卫生健康便民惠民服务举措的通知》  国卫办基层发{2023}7号</w:t>
      </w:r>
    </w:p>
    <w:p>
      <w:pPr>
        <w:pStyle w:val="57"/>
        <w:ind w:firstLine="420"/>
      </w:pPr>
      <w:r>
        <w:rPr>
          <w:rFonts w:hint="eastAsia"/>
        </w:rPr>
        <w:t>[3] 《关于实施“优质服务基层行”活动和社区医院建设三年行动的通知》  国卫办基层发{2023}22号</w:t>
      </w:r>
    </w:p>
    <w:p>
      <w:pPr>
        <w:pStyle w:val="57"/>
        <w:ind w:firstLine="420"/>
      </w:pPr>
      <w:r>
        <w:rPr>
          <w:rFonts w:hint="eastAsia"/>
        </w:rPr>
        <w:t>[4</w:t>
      </w:r>
      <w:r>
        <w:t xml:space="preserve">] </w:t>
      </w:r>
      <w:r>
        <w:rPr>
          <w:rFonts w:hint="eastAsia"/>
        </w:rPr>
        <w:t>《关于开展改善就医感受提升患者体验主题活动的通知》  国卫医政发{2023}11号</w:t>
      </w:r>
    </w:p>
    <w:p>
      <w:pPr>
        <w:pStyle w:val="57"/>
        <w:ind w:firstLine="420"/>
      </w:pPr>
      <w:r>
        <w:rPr>
          <w:rFonts w:hint="eastAsia"/>
        </w:rPr>
        <w:t>[5</w:t>
      </w:r>
      <w:r>
        <w:t xml:space="preserve">] </w:t>
      </w:r>
      <w:r>
        <w:rPr>
          <w:rFonts w:hint="eastAsia"/>
        </w:rPr>
        <w:t>《关于开展全面提升医疗质量行动（2023-2025年）的通知》  国卫医政发{2023}12号</w:t>
      </w:r>
    </w:p>
    <w:p>
      <w:pPr>
        <w:pStyle w:val="57"/>
        <w:ind w:firstLine="420"/>
      </w:pPr>
      <w:r>
        <w:rPr>
          <w:rFonts w:hint="eastAsia"/>
        </w:rPr>
        <w:t>[6</w:t>
      </w:r>
      <w:r>
        <w:t xml:space="preserve">] </w:t>
      </w:r>
      <w:r>
        <w:rPr>
          <w:rFonts w:hint="eastAsia"/>
        </w:rPr>
        <w:t>《关于印发进一步改善护理服务行动计划（2023-2025）的通知》  国卫医政发{2023}16号</w:t>
      </w:r>
    </w:p>
    <w:p>
      <w:pPr>
        <w:pStyle w:val="57"/>
        <w:ind w:firstLine="420"/>
      </w:pPr>
      <w:r>
        <w:rPr>
          <w:rFonts w:hint="eastAsia"/>
        </w:rPr>
        <w:t>[7</w:t>
      </w:r>
      <w:r>
        <w:t xml:space="preserve">] </w:t>
      </w:r>
      <w:r>
        <w:rPr>
          <w:rFonts w:hint="eastAsia"/>
        </w:rPr>
        <w:t>《关于印发居家和社区医养结合服务指南（试行）的通知》  国卫办老龄发{2023}18号</w:t>
      </w:r>
    </w:p>
    <w:p>
      <w:pPr>
        <w:pStyle w:val="57"/>
        <w:ind w:firstLine="420"/>
      </w:pPr>
      <w:r>
        <w:rPr>
          <w:rFonts w:hint="eastAsia"/>
        </w:rPr>
        <w:t>[8</w:t>
      </w:r>
      <w:r>
        <w:t xml:space="preserve">] </w:t>
      </w:r>
      <w:r>
        <w:rPr>
          <w:rFonts w:hint="eastAsia"/>
        </w:rPr>
        <w:t>《关于全面推进紧密型县域医疗卫生共同体建设的指导意见》  国卫基层发{2023}41号</w:t>
      </w:r>
    </w:p>
    <w:p>
      <w:pPr>
        <w:pStyle w:val="57"/>
        <w:ind w:firstLine="420"/>
      </w:pPr>
      <w:r>
        <w:rPr>
          <w:rFonts w:hint="eastAsia"/>
        </w:rPr>
        <w:t>[9</w:t>
      </w:r>
      <w:r>
        <w:t xml:space="preserve">] </w:t>
      </w:r>
      <w:r>
        <w:rPr>
          <w:rFonts w:hint="eastAsia"/>
        </w:rPr>
        <w:t>《关于组织开展2022年度紧密型县域医疗卫生共同体建设进展监测工作的通知》  国卫办基层函{2023}89号</w:t>
      </w:r>
    </w:p>
    <w:p>
      <w:pPr>
        <w:pStyle w:val="57"/>
        <w:ind w:firstLine="420"/>
      </w:pPr>
      <w:r>
        <w:rPr>
          <w:rFonts w:hint="eastAsia"/>
        </w:rPr>
        <w:t>[10</w:t>
      </w:r>
      <w:r>
        <w:t>]</w:t>
      </w:r>
      <w:r>
        <w:rPr>
          <w:rFonts w:hint="eastAsia"/>
        </w:rPr>
        <w:t>《关于印发改善就医感受提升患者体验评估操作书册的通知》  国卫办医政函{2023}313号</w:t>
      </w:r>
    </w:p>
    <w:bookmarkEnd w:id="155"/>
    <w:p>
      <w:pPr>
        <w:jc w:val="center"/>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448" w:hanging="448"/>
      </w:pPr>
      <w:rPr>
        <w:rFonts w:hint="eastAsia" w:ascii="黑体" w:eastAsia="黑体"/>
        <w:b w:val="0"/>
        <w:i w:val="0"/>
        <w:sz w:val="18"/>
      </w:rPr>
    </w:lvl>
    <w:lvl w:ilvl="1" w:tentative="0">
      <w:start w:val="1"/>
      <w:numFmt w:val="lowerLetter"/>
      <w:lvlText w:val="%2)"/>
      <w:lvlJc w:val="left"/>
      <w:pPr>
        <w:tabs>
          <w:tab w:val="left" w:pos="-363"/>
        </w:tabs>
        <w:ind w:left="629" w:hanging="629"/>
      </w:pPr>
      <w:rPr>
        <w:rFonts w:hint="eastAsia"/>
      </w:rPr>
    </w:lvl>
    <w:lvl w:ilvl="2" w:tentative="0">
      <w:start w:val="1"/>
      <w:numFmt w:val="lowerRoman"/>
      <w:lvlText w:val="%3."/>
      <w:lvlJc w:val="right"/>
      <w:pPr>
        <w:tabs>
          <w:tab w:val="left" w:pos="-363"/>
        </w:tabs>
        <w:ind w:left="629" w:hanging="629"/>
      </w:pPr>
      <w:rPr>
        <w:rFonts w:hint="eastAsia"/>
      </w:rPr>
    </w:lvl>
    <w:lvl w:ilvl="3" w:tentative="0">
      <w:start w:val="1"/>
      <w:numFmt w:val="decimal"/>
      <w:lvlText w:val="%4."/>
      <w:lvlJc w:val="left"/>
      <w:pPr>
        <w:tabs>
          <w:tab w:val="left" w:pos="-363"/>
        </w:tabs>
        <w:ind w:left="629" w:hanging="629"/>
      </w:pPr>
      <w:rPr>
        <w:rFonts w:hint="eastAsia"/>
      </w:rPr>
    </w:lvl>
    <w:lvl w:ilvl="4" w:tentative="0">
      <w:start w:val="1"/>
      <w:numFmt w:val="lowerLetter"/>
      <w:lvlText w:val="%5)"/>
      <w:lvlJc w:val="left"/>
      <w:pPr>
        <w:tabs>
          <w:tab w:val="left" w:pos="-363"/>
        </w:tabs>
        <w:ind w:left="629" w:hanging="629"/>
      </w:pPr>
      <w:rPr>
        <w:rFonts w:hint="eastAsia"/>
      </w:rPr>
    </w:lvl>
    <w:lvl w:ilvl="5" w:tentative="0">
      <w:start w:val="1"/>
      <w:numFmt w:val="lowerRoman"/>
      <w:lvlText w:val="%6."/>
      <w:lvlJc w:val="right"/>
      <w:pPr>
        <w:tabs>
          <w:tab w:val="left" w:pos="-363"/>
        </w:tabs>
        <w:ind w:left="629" w:hanging="629"/>
      </w:pPr>
      <w:rPr>
        <w:rFonts w:hint="eastAsia"/>
      </w:rPr>
    </w:lvl>
    <w:lvl w:ilvl="6" w:tentative="0">
      <w:start w:val="1"/>
      <w:numFmt w:val="decimal"/>
      <w:lvlText w:val="%7."/>
      <w:lvlJc w:val="left"/>
      <w:pPr>
        <w:tabs>
          <w:tab w:val="left" w:pos="-363"/>
        </w:tabs>
        <w:ind w:left="629" w:hanging="629"/>
      </w:pPr>
      <w:rPr>
        <w:rFonts w:hint="eastAsia"/>
      </w:rPr>
    </w:lvl>
    <w:lvl w:ilvl="7" w:tentative="0">
      <w:start w:val="1"/>
      <w:numFmt w:val="lowerLetter"/>
      <w:lvlText w:val="%8)"/>
      <w:lvlJc w:val="left"/>
      <w:pPr>
        <w:tabs>
          <w:tab w:val="left" w:pos="-363"/>
        </w:tabs>
        <w:ind w:left="629" w:hanging="629"/>
      </w:pPr>
      <w:rPr>
        <w:rFonts w:hint="eastAsia"/>
      </w:rPr>
    </w:lvl>
    <w:lvl w:ilvl="8" w:tentative="0">
      <w:start w:val="1"/>
      <w:numFmt w:val="lowerRoman"/>
      <w:lvlText w:val="%9."/>
      <w:lvlJc w:val="right"/>
      <w:pPr>
        <w:tabs>
          <w:tab w:val="left" w:pos="-363"/>
        </w:tabs>
        <w:ind w:left="629"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14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XHjBYjEMp5lQJzNdLNjMQubXM5nM6+C2X+B1Cf4vITXJNstxlMmpYF53XkcNxLOBbLE4G8xXK0ypeKw+dfRR+A==" w:salt="0M3EYNpNgriYZM5dbenAC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5OTNhMGQ3Y2RmYmU4YTZlZjdjZDVlZDI0NzI0NWIifQ=="/>
  </w:docVars>
  <w:rsids>
    <w:rsidRoot w:val="0046628E"/>
    <w:rsid w:val="0000040A"/>
    <w:rsid w:val="00000A94"/>
    <w:rsid w:val="00001972"/>
    <w:rsid w:val="00001D9A"/>
    <w:rsid w:val="00001F79"/>
    <w:rsid w:val="000066AC"/>
    <w:rsid w:val="00007B3A"/>
    <w:rsid w:val="000107E0"/>
    <w:rsid w:val="00011FDE"/>
    <w:rsid w:val="00012FFD"/>
    <w:rsid w:val="00014162"/>
    <w:rsid w:val="00014340"/>
    <w:rsid w:val="00016A9C"/>
    <w:rsid w:val="000202E8"/>
    <w:rsid w:val="00021964"/>
    <w:rsid w:val="00022184"/>
    <w:rsid w:val="00022762"/>
    <w:rsid w:val="000238E0"/>
    <w:rsid w:val="000249DB"/>
    <w:rsid w:val="0002595E"/>
    <w:rsid w:val="000303C3"/>
    <w:rsid w:val="0003222A"/>
    <w:rsid w:val="000331D3"/>
    <w:rsid w:val="000346A5"/>
    <w:rsid w:val="000359C3"/>
    <w:rsid w:val="00035A7D"/>
    <w:rsid w:val="000365ED"/>
    <w:rsid w:val="0004249A"/>
    <w:rsid w:val="00043282"/>
    <w:rsid w:val="00044286"/>
    <w:rsid w:val="00047F28"/>
    <w:rsid w:val="000503AA"/>
    <w:rsid w:val="000506A1"/>
    <w:rsid w:val="000515DD"/>
    <w:rsid w:val="000520BB"/>
    <w:rsid w:val="0005265A"/>
    <w:rsid w:val="000539DD"/>
    <w:rsid w:val="00053BD3"/>
    <w:rsid w:val="000556ED"/>
    <w:rsid w:val="00055FE2"/>
    <w:rsid w:val="0005616F"/>
    <w:rsid w:val="00060C2E"/>
    <w:rsid w:val="00061033"/>
    <w:rsid w:val="000619E9"/>
    <w:rsid w:val="000622D4"/>
    <w:rsid w:val="00062FC2"/>
    <w:rsid w:val="0006357D"/>
    <w:rsid w:val="00067F1E"/>
    <w:rsid w:val="0007092B"/>
    <w:rsid w:val="00071CC0"/>
    <w:rsid w:val="00073C8C"/>
    <w:rsid w:val="0007465E"/>
    <w:rsid w:val="00075A2B"/>
    <w:rsid w:val="00077B64"/>
    <w:rsid w:val="00080A1C"/>
    <w:rsid w:val="00082317"/>
    <w:rsid w:val="00083D00"/>
    <w:rsid w:val="00083D2C"/>
    <w:rsid w:val="00086AA1"/>
    <w:rsid w:val="00087A77"/>
    <w:rsid w:val="00090CA6"/>
    <w:rsid w:val="000918D0"/>
    <w:rsid w:val="00092B8A"/>
    <w:rsid w:val="00092FB0"/>
    <w:rsid w:val="000934C5"/>
    <w:rsid w:val="00093D25"/>
    <w:rsid w:val="00093DAB"/>
    <w:rsid w:val="00094D73"/>
    <w:rsid w:val="00096D63"/>
    <w:rsid w:val="000A0B60"/>
    <w:rsid w:val="000A0EB8"/>
    <w:rsid w:val="000A19FC"/>
    <w:rsid w:val="000A22B2"/>
    <w:rsid w:val="000A296B"/>
    <w:rsid w:val="000A53D7"/>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0F7C50"/>
    <w:rsid w:val="00104926"/>
    <w:rsid w:val="00110D33"/>
    <w:rsid w:val="00113B14"/>
    <w:rsid w:val="00113B1E"/>
    <w:rsid w:val="001155C9"/>
    <w:rsid w:val="00116216"/>
    <w:rsid w:val="0011705A"/>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5581"/>
    <w:rsid w:val="00156B25"/>
    <w:rsid w:val="00156E1A"/>
    <w:rsid w:val="00157894"/>
    <w:rsid w:val="00157B55"/>
    <w:rsid w:val="0016275D"/>
    <w:rsid w:val="00163B3D"/>
    <w:rsid w:val="001642FA"/>
    <w:rsid w:val="00164690"/>
    <w:rsid w:val="001649EB"/>
    <w:rsid w:val="00164BAF"/>
    <w:rsid w:val="00164FA8"/>
    <w:rsid w:val="00165065"/>
    <w:rsid w:val="00165434"/>
    <w:rsid w:val="0016580B"/>
    <w:rsid w:val="00165F49"/>
    <w:rsid w:val="00166B88"/>
    <w:rsid w:val="0016770A"/>
    <w:rsid w:val="00170804"/>
    <w:rsid w:val="001708E9"/>
    <w:rsid w:val="0017340B"/>
    <w:rsid w:val="00173FB1"/>
    <w:rsid w:val="00175CF4"/>
    <w:rsid w:val="00176DFD"/>
    <w:rsid w:val="001852C9"/>
    <w:rsid w:val="00190087"/>
    <w:rsid w:val="001913C4"/>
    <w:rsid w:val="00192CDC"/>
    <w:rsid w:val="0019348F"/>
    <w:rsid w:val="00193A07"/>
    <w:rsid w:val="00194C95"/>
    <w:rsid w:val="00195C34"/>
    <w:rsid w:val="00196EF5"/>
    <w:rsid w:val="001A1A53"/>
    <w:rsid w:val="001A234A"/>
    <w:rsid w:val="001A4CF3"/>
    <w:rsid w:val="001B06E8"/>
    <w:rsid w:val="001B71D0"/>
    <w:rsid w:val="001B71EE"/>
    <w:rsid w:val="001B7761"/>
    <w:rsid w:val="001C04A8"/>
    <w:rsid w:val="001C2C03"/>
    <w:rsid w:val="001C42F7"/>
    <w:rsid w:val="001C49E5"/>
    <w:rsid w:val="001C680C"/>
    <w:rsid w:val="001C7FEA"/>
    <w:rsid w:val="001D0499"/>
    <w:rsid w:val="001D0686"/>
    <w:rsid w:val="001D0BBE"/>
    <w:rsid w:val="001D0E6D"/>
    <w:rsid w:val="001D0ED4"/>
    <w:rsid w:val="001D212F"/>
    <w:rsid w:val="001D29D7"/>
    <w:rsid w:val="001D2DE7"/>
    <w:rsid w:val="001D411C"/>
    <w:rsid w:val="001E1B6A"/>
    <w:rsid w:val="001E2484"/>
    <w:rsid w:val="001E3CC4"/>
    <w:rsid w:val="001E4882"/>
    <w:rsid w:val="001E73AB"/>
    <w:rsid w:val="001F092D"/>
    <w:rsid w:val="001F143A"/>
    <w:rsid w:val="001F1605"/>
    <w:rsid w:val="001F226F"/>
    <w:rsid w:val="001F2508"/>
    <w:rsid w:val="001F4816"/>
    <w:rsid w:val="001F4EE9"/>
    <w:rsid w:val="001F69B4"/>
    <w:rsid w:val="001F77C7"/>
    <w:rsid w:val="00200183"/>
    <w:rsid w:val="00200333"/>
    <w:rsid w:val="00200B80"/>
    <w:rsid w:val="0020107D"/>
    <w:rsid w:val="00202AA4"/>
    <w:rsid w:val="00203088"/>
    <w:rsid w:val="002031F7"/>
    <w:rsid w:val="002040E6"/>
    <w:rsid w:val="0020527B"/>
    <w:rsid w:val="00205F2C"/>
    <w:rsid w:val="0021089F"/>
    <w:rsid w:val="00210B15"/>
    <w:rsid w:val="002142EA"/>
    <w:rsid w:val="00215648"/>
    <w:rsid w:val="002170AD"/>
    <w:rsid w:val="002204BB"/>
    <w:rsid w:val="00221B79"/>
    <w:rsid w:val="00221C6B"/>
    <w:rsid w:val="002253A1"/>
    <w:rsid w:val="00225CF8"/>
    <w:rsid w:val="0022794E"/>
    <w:rsid w:val="00233D64"/>
    <w:rsid w:val="0023482A"/>
    <w:rsid w:val="0023575A"/>
    <w:rsid w:val="002359CB"/>
    <w:rsid w:val="00243540"/>
    <w:rsid w:val="0024497B"/>
    <w:rsid w:val="0024515B"/>
    <w:rsid w:val="00246021"/>
    <w:rsid w:val="0024666E"/>
    <w:rsid w:val="00247F52"/>
    <w:rsid w:val="00250B25"/>
    <w:rsid w:val="00250BBE"/>
    <w:rsid w:val="002515C2"/>
    <w:rsid w:val="0025194F"/>
    <w:rsid w:val="00252C14"/>
    <w:rsid w:val="00260295"/>
    <w:rsid w:val="00260DB6"/>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3EF5"/>
    <w:rsid w:val="00294D34"/>
    <w:rsid w:val="00294E3B"/>
    <w:rsid w:val="002956C0"/>
    <w:rsid w:val="00296193"/>
    <w:rsid w:val="00296C66"/>
    <w:rsid w:val="00296EBE"/>
    <w:rsid w:val="002974E3"/>
    <w:rsid w:val="002A084B"/>
    <w:rsid w:val="002A1260"/>
    <w:rsid w:val="002A1589"/>
    <w:rsid w:val="002A1608"/>
    <w:rsid w:val="002A25DC"/>
    <w:rsid w:val="002A3AAB"/>
    <w:rsid w:val="002A4CEA"/>
    <w:rsid w:val="002A5977"/>
    <w:rsid w:val="002A5A13"/>
    <w:rsid w:val="002A6418"/>
    <w:rsid w:val="002A757F"/>
    <w:rsid w:val="002A7F44"/>
    <w:rsid w:val="002B0C40"/>
    <w:rsid w:val="002B1966"/>
    <w:rsid w:val="002B4508"/>
    <w:rsid w:val="002B5779"/>
    <w:rsid w:val="002B6AC9"/>
    <w:rsid w:val="002B7332"/>
    <w:rsid w:val="002B7F51"/>
    <w:rsid w:val="002C09E7"/>
    <w:rsid w:val="002C1E06"/>
    <w:rsid w:val="002C1E1C"/>
    <w:rsid w:val="002C266C"/>
    <w:rsid w:val="002C3F07"/>
    <w:rsid w:val="002C5278"/>
    <w:rsid w:val="002C7EBB"/>
    <w:rsid w:val="002D06C1"/>
    <w:rsid w:val="002D3E78"/>
    <w:rsid w:val="002D42B5"/>
    <w:rsid w:val="002D4F1A"/>
    <w:rsid w:val="002D6EC6"/>
    <w:rsid w:val="002D79AC"/>
    <w:rsid w:val="002E039D"/>
    <w:rsid w:val="002E1CAD"/>
    <w:rsid w:val="002E2677"/>
    <w:rsid w:val="002E4D5A"/>
    <w:rsid w:val="002E613F"/>
    <w:rsid w:val="002E6326"/>
    <w:rsid w:val="002F02E7"/>
    <w:rsid w:val="002F30E0"/>
    <w:rsid w:val="002F35E4"/>
    <w:rsid w:val="002F3730"/>
    <w:rsid w:val="002F38E1"/>
    <w:rsid w:val="002F7AF6"/>
    <w:rsid w:val="00300E63"/>
    <w:rsid w:val="00301780"/>
    <w:rsid w:val="00302F5F"/>
    <w:rsid w:val="0030441D"/>
    <w:rsid w:val="00306063"/>
    <w:rsid w:val="00313B85"/>
    <w:rsid w:val="0031641A"/>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3CB"/>
    <w:rsid w:val="003654CB"/>
    <w:rsid w:val="00365AA9"/>
    <w:rsid w:val="00365F86"/>
    <w:rsid w:val="00365F87"/>
    <w:rsid w:val="00366E89"/>
    <w:rsid w:val="003705F4"/>
    <w:rsid w:val="00370D58"/>
    <w:rsid w:val="00371316"/>
    <w:rsid w:val="003747F8"/>
    <w:rsid w:val="00376713"/>
    <w:rsid w:val="00376D2B"/>
    <w:rsid w:val="00381815"/>
    <w:rsid w:val="003819AF"/>
    <w:rsid w:val="00381F9E"/>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061"/>
    <w:rsid w:val="003B09AD"/>
    <w:rsid w:val="003B1F18"/>
    <w:rsid w:val="003B259A"/>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1D8"/>
    <w:rsid w:val="00404869"/>
    <w:rsid w:val="00405884"/>
    <w:rsid w:val="00407D39"/>
    <w:rsid w:val="0041477A"/>
    <w:rsid w:val="00415CEA"/>
    <w:rsid w:val="004167A3"/>
    <w:rsid w:val="00432DAA"/>
    <w:rsid w:val="00434005"/>
    <w:rsid w:val="00434305"/>
    <w:rsid w:val="00435DF7"/>
    <w:rsid w:val="0044083F"/>
    <w:rsid w:val="00441AE7"/>
    <w:rsid w:val="00445574"/>
    <w:rsid w:val="004467FB"/>
    <w:rsid w:val="0045175A"/>
    <w:rsid w:val="00452D6B"/>
    <w:rsid w:val="00454484"/>
    <w:rsid w:val="0045517B"/>
    <w:rsid w:val="00463B77"/>
    <w:rsid w:val="00463C7B"/>
    <w:rsid w:val="004644A6"/>
    <w:rsid w:val="004659BD"/>
    <w:rsid w:val="0046628E"/>
    <w:rsid w:val="00470775"/>
    <w:rsid w:val="004721D3"/>
    <w:rsid w:val="004746B1"/>
    <w:rsid w:val="0047583F"/>
    <w:rsid w:val="00475DE8"/>
    <w:rsid w:val="00480FC4"/>
    <w:rsid w:val="00481C44"/>
    <w:rsid w:val="00484936"/>
    <w:rsid w:val="00485C89"/>
    <w:rsid w:val="00486BE3"/>
    <w:rsid w:val="004905E4"/>
    <w:rsid w:val="00490A89"/>
    <w:rsid w:val="00490AB4"/>
    <w:rsid w:val="004928D7"/>
    <w:rsid w:val="00492F02"/>
    <w:rsid w:val="004939AE"/>
    <w:rsid w:val="004A12DF"/>
    <w:rsid w:val="004A17E6"/>
    <w:rsid w:val="004A1BA8"/>
    <w:rsid w:val="004A4B57"/>
    <w:rsid w:val="004A63FA"/>
    <w:rsid w:val="004A6DC7"/>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C9B"/>
    <w:rsid w:val="004D4406"/>
    <w:rsid w:val="004D7C42"/>
    <w:rsid w:val="004E0465"/>
    <w:rsid w:val="004E127B"/>
    <w:rsid w:val="004E1C0A"/>
    <w:rsid w:val="004E2B06"/>
    <w:rsid w:val="004E30C5"/>
    <w:rsid w:val="004E4AA5"/>
    <w:rsid w:val="004E4AEE"/>
    <w:rsid w:val="004E59E3"/>
    <w:rsid w:val="004E67C0"/>
    <w:rsid w:val="004E7231"/>
    <w:rsid w:val="004F0267"/>
    <w:rsid w:val="004F391A"/>
    <w:rsid w:val="004F3CFB"/>
    <w:rsid w:val="004F6456"/>
    <w:rsid w:val="004F6947"/>
    <w:rsid w:val="004F696E"/>
    <w:rsid w:val="004F6C71"/>
    <w:rsid w:val="00501139"/>
    <w:rsid w:val="0050363E"/>
    <w:rsid w:val="005039BC"/>
    <w:rsid w:val="005043BB"/>
    <w:rsid w:val="00504A3D"/>
    <w:rsid w:val="00505767"/>
    <w:rsid w:val="005073F0"/>
    <w:rsid w:val="00510A7B"/>
    <w:rsid w:val="00511156"/>
    <w:rsid w:val="00512F6E"/>
    <w:rsid w:val="00513038"/>
    <w:rsid w:val="00514174"/>
    <w:rsid w:val="00516088"/>
    <w:rsid w:val="00516B0B"/>
    <w:rsid w:val="005220EC"/>
    <w:rsid w:val="00522A0A"/>
    <w:rsid w:val="00523F95"/>
    <w:rsid w:val="00524D65"/>
    <w:rsid w:val="00525B16"/>
    <w:rsid w:val="005313E5"/>
    <w:rsid w:val="00532927"/>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0982"/>
    <w:rsid w:val="00581802"/>
    <w:rsid w:val="005836A8"/>
    <w:rsid w:val="0058409C"/>
    <w:rsid w:val="00584262"/>
    <w:rsid w:val="00586630"/>
    <w:rsid w:val="00587ADD"/>
    <w:rsid w:val="00590318"/>
    <w:rsid w:val="00591E27"/>
    <w:rsid w:val="00596160"/>
    <w:rsid w:val="005966E2"/>
    <w:rsid w:val="00597007"/>
    <w:rsid w:val="005A0966"/>
    <w:rsid w:val="005A11B7"/>
    <w:rsid w:val="005A260B"/>
    <w:rsid w:val="005A4A1B"/>
    <w:rsid w:val="005A6860"/>
    <w:rsid w:val="005A7830"/>
    <w:rsid w:val="005A7FCE"/>
    <w:rsid w:val="005B0F3F"/>
    <w:rsid w:val="005B4903"/>
    <w:rsid w:val="005B51CE"/>
    <w:rsid w:val="005B5885"/>
    <w:rsid w:val="005B5CD7"/>
    <w:rsid w:val="005B6CF6"/>
    <w:rsid w:val="005B7422"/>
    <w:rsid w:val="005C29B8"/>
    <w:rsid w:val="005C5620"/>
    <w:rsid w:val="005C5F21"/>
    <w:rsid w:val="005C7156"/>
    <w:rsid w:val="005D0C75"/>
    <w:rsid w:val="005D4171"/>
    <w:rsid w:val="005D6A95"/>
    <w:rsid w:val="005D6B2C"/>
    <w:rsid w:val="005D6D9C"/>
    <w:rsid w:val="005D7125"/>
    <w:rsid w:val="005D77D6"/>
    <w:rsid w:val="005E2335"/>
    <w:rsid w:val="005E34CA"/>
    <w:rsid w:val="005E3C18"/>
    <w:rsid w:val="005E6812"/>
    <w:rsid w:val="005E7881"/>
    <w:rsid w:val="005E78E0"/>
    <w:rsid w:val="005F0D9C"/>
    <w:rsid w:val="005F284E"/>
    <w:rsid w:val="005F2871"/>
    <w:rsid w:val="005F4712"/>
    <w:rsid w:val="00601574"/>
    <w:rsid w:val="006015CE"/>
    <w:rsid w:val="00604784"/>
    <w:rsid w:val="00606419"/>
    <w:rsid w:val="00607D29"/>
    <w:rsid w:val="00612952"/>
    <w:rsid w:val="00614CC1"/>
    <w:rsid w:val="00615A9D"/>
    <w:rsid w:val="00617387"/>
    <w:rsid w:val="006205D6"/>
    <w:rsid w:val="006252D8"/>
    <w:rsid w:val="006259BC"/>
    <w:rsid w:val="0062636B"/>
    <w:rsid w:val="00630F1B"/>
    <w:rsid w:val="00632182"/>
    <w:rsid w:val="00632AE0"/>
    <w:rsid w:val="00633C17"/>
    <w:rsid w:val="00634D9E"/>
    <w:rsid w:val="00636E3E"/>
    <w:rsid w:val="006379F7"/>
    <w:rsid w:val="00637E4D"/>
    <w:rsid w:val="00640620"/>
    <w:rsid w:val="00641A1F"/>
    <w:rsid w:val="006449B2"/>
    <w:rsid w:val="00645904"/>
    <w:rsid w:val="00651ACB"/>
    <w:rsid w:val="00651C47"/>
    <w:rsid w:val="00652AB2"/>
    <w:rsid w:val="00653FED"/>
    <w:rsid w:val="00654EC0"/>
    <w:rsid w:val="0065525B"/>
    <w:rsid w:val="00655D4F"/>
    <w:rsid w:val="00656D29"/>
    <w:rsid w:val="00657833"/>
    <w:rsid w:val="006640E5"/>
    <w:rsid w:val="006646F1"/>
    <w:rsid w:val="00664929"/>
    <w:rsid w:val="00664F62"/>
    <w:rsid w:val="006655E1"/>
    <w:rsid w:val="006663FD"/>
    <w:rsid w:val="00672060"/>
    <w:rsid w:val="00672BFD"/>
    <w:rsid w:val="006770F4"/>
    <w:rsid w:val="00677A84"/>
    <w:rsid w:val="0068026D"/>
    <w:rsid w:val="00680A27"/>
    <w:rsid w:val="006816A4"/>
    <w:rsid w:val="006819B8"/>
    <w:rsid w:val="006840A6"/>
    <w:rsid w:val="006850CD"/>
    <w:rsid w:val="00685AAB"/>
    <w:rsid w:val="00687DB2"/>
    <w:rsid w:val="00695D22"/>
    <w:rsid w:val="006A07AA"/>
    <w:rsid w:val="006A25E5"/>
    <w:rsid w:val="006A2B46"/>
    <w:rsid w:val="006A2D23"/>
    <w:rsid w:val="006A336D"/>
    <w:rsid w:val="006A37B9"/>
    <w:rsid w:val="006B2672"/>
    <w:rsid w:val="006B54BF"/>
    <w:rsid w:val="006B5ACE"/>
    <w:rsid w:val="006B5F44"/>
    <w:rsid w:val="006B5F90"/>
    <w:rsid w:val="006B62E4"/>
    <w:rsid w:val="006C1BBA"/>
    <w:rsid w:val="006C2079"/>
    <w:rsid w:val="006C2A78"/>
    <w:rsid w:val="006C5A62"/>
    <w:rsid w:val="006C5D68"/>
    <w:rsid w:val="006C6976"/>
    <w:rsid w:val="006C6DD0"/>
    <w:rsid w:val="006D04EA"/>
    <w:rsid w:val="006D0AB7"/>
    <w:rsid w:val="006D16C4"/>
    <w:rsid w:val="006D3E96"/>
    <w:rsid w:val="006D4515"/>
    <w:rsid w:val="006D4BB1"/>
    <w:rsid w:val="006D6593"/>
    <w:rsid w:val="006E03F6"/>
    <w:rsid w:val="006E23EA"/>
    <w:rsid w:val="006E2A86"/>
    <w:rsid w:val="006E46D7"/>
    <w:rsid w:val="006E6B59"/>
    <w:rsid w:val="006F03A8"/>
    <w:rsid w:val="006F2ACA"/>
    <w:rsid w:val="006F2ADC"/>
    <w:rsid w:val="006F2BFE"/>
    <w:rsid w:val="006F31E9"/>
    <w:rsid w:val="006F42EB"/>
    <w:rsid w:val="006F6284"/>
    <w:rsid w:val="007002C5"/>
    <w:rsid w:val="00704387"/>
    <w:rsid w:val="00704FA0"/>
    <w:rsid w:val="00707669"/>
    <w:rsid w:val="00710E1E"/>
    <w:rsid w:val="00711CBA"/>
    <w:rsid w:val="00711FB5"/>
    <w:rsid w:val="00712A01"/>
    <w:rsid w:val="00714F58"/>
    <w:rsid w:val="00722FBF"/>
    <w:rsid w:val="00722FC2"/>
    <w:rsid w:val="00724879"/>
    <w:rsid w:val="00724E1B"/>
    <w:rsid w:val="00725949"/>
    <w:rsid w:val="00727FA2"/>
    <w:rsid w:val="00730B9A"/>
    <w:rsid w:val="007322D9"/>
    <w:rsid w:val="00732BC0"/>
    <w:rsid w:val="0073720F"/>
    <w:rsid w:val="00737796"/>
    <w:rsid w:val="00737D3A"/>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137B"/>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C725C"/>
    <w:rsid w:val="007D06C4"/>
    <w:rsid w:val="007D1352"/>
    <w:rsid w:val="007D2508"/>
    <w:rsid w:val="007D346A"/>
    <w:rsid w:val="007D5F1B"/>
    <w:rsid w:val="007D6518"/>
    <w:rsid w:val="007D76BD"/>
    <w:rsid w:val="007E0BF1"/>
    <w:rsid w:val="007F0ED8"/>
    <w:rsid w:val="007F0F63"/>
    <w:rsid w:val="007F49E5"/>
    <w:rsid w:val="007F75CE"/>
    <w:rsid w:val="008013A4"/>
    <w:rsid w:val="00801D2D"/>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1538"/>
    <w:rsid w:val="008763A8"/>
    <w:rsid w:val="00883F93"/>
    <w:rsid w:val="008848D9"/>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771"/>
    <w:rsid w:val="008F0CDC"/>
    <w:rsid w:val="008F17A3"/>
    <w:rsid w:val="008F1ED3"/>
    <w:rsid w:val="008F23A5"/>
    <w:rsid w:val="008F250F"/>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6657"/>
    <w:rsid w:val="00927238"/>
    <w:rsid w:val="009273B3"/>
    <w:rsid w:val="009305B5"/>
    <w:rsid w:val="009360E5"/>
    <w:rsid w:val="009429D5"/>
    <w:rsid w:val="00942BF1"/>
    <w:rsid w:val="00945180"/>
    <w:rsid w:val="00945428"/>
    <w:rsid w:val="0094607B"/>
    <w:rsid w:val="00947383"/>
    <w:rsid w:val="00953604"/>
    <w:rsid w:val="0095496B"/>
    <w:rsid w:val="009610DC"/>
    <w:rsid w:val="00961490"/>
    <w:rsid w:val="0096381A"/>
    <w:rsid w:val="00965E04"/>
    <w:rsid w:val="009674AD"/>
    <w:rsid w:val="00970CDC"/>
    <w:rsid w:val="00976509"/>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34C5"/>
    <w:rsid w:val="009B46F9"/>
    <w:rsid w:val="009B6029"/>
    <w:rsid w:val="009B6971"/>
    <w:rsid w:val="009C12F9"/>
    <w:rsid w:val="009C27F1"/>
    <w:rsid w:val="009C3152"/>
    <w:rsid w:val="009C4955"/>
    <w:rsid w:val="009C4CFA"/>
    <w:rsid w:val="009C5070"/>
    <w:rsid w:val="009D112C"/>
    <w:rsid w:val="009D2D96"/>
    <w:rsid w:val="009D47FA"/>
    <w:rsid w:val="009D4C5B"/>
    <w:rsid w:val="009D50D2"/>
    <w:rsid w:val="009D6BCA"/>
    <w:rsid w:val="009E0F62"/>
    <w:rsid w:val="009E4A58"/>
    <w:rsid w:val="009E5A2D"/>
    <w:rsid w:val="009E5AB2"/>
    <w:rsid w:val="009E6219"/>
    <w:rsid w:val="009F03B3"/>
    <w:rsid w:val="009F19A1"/>
    <w:rsid w:val="00A0096C"/>
    <w:rsid w:val="00A01458"/>
    <w:rsid w:val="00A01757"/>
    <w:rsid w:val="00A028C0"/>
    <w:rsid w:val="00A02BAE"/>
    <w:rsid w:val="00A06A6B"/>
    <w:rsid w:val="00A076C3"/>
    <w:rsid w:val="00A07E47"/>
    <w:rsid w:val="00A1034C"/>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6A5"/>
    <w:rsid w:val="00A42CDF"/>
    <w:rsid w:val="00A4452E"/>
    <w:rsid w:val="00A4472C"/>
    <w:rsid w:val="00A44E69"/>
    <w:rsid w:val="00A4661E"/>
    <w:rsid w:val="00A51F7F"/>
    <w:rsid w:val="00A5543D"/>
    <w:rsid w:val="00A55BD6"/>
    <w:rsid w:val="00A55D50"/>
    <w:rsid w:val="00A57142"/>
    <w:rsid w:val="00A648CD"/>
    <w:rsid w:val="00A6537A"/>
    <w:rsid w:val="00A66733"/>
    <w:rsid w:val="00A67866"/>
    <w:rsid w:val="00A70B07"/>
    <w:rsid w:val="00A723F8"/>
    <w:rsid w:val="00A74CDA"/>
    <w:rsid w:val="00A77CCB"/>
    <w:rsid w:val="00A83D8D"/>
    <w:rsid w:val="00A8446B"/>
    <w:rsid w:val="00A8473F"/>
    <w:rsid w:val="00A862D6"/>
    <w:rsid w:val="00A8715E"/>
    <w:rsid w:val="00A9295B"/>
    <w:rsid w:val="00A93B09"/>
    <w:rsid w:val="00A94247"/>
    <w:rsid w:val="00A952D7"/>
    <w:rsid w:val="00A963F7"/>
    <w:rsid w:val="00A96AD8"/>
    <w:rsid w:val="00AA052C"/>
    <w:rsid w:val="00AA1362"/>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BD9"/>
    <w:rsid w:val="00B11D8A"/>
    <w:rsid w:val="00B12981"/>
    <w:rsid w:val="00B147DD"/>
    <w:rsid w:val="00B156FD"/>
    <w:rsid w:val="00B2175F"/>
    <w:rsid w:val="00B21F61"/>
    <w:rsid w:val="00B23A49"/>
    <w:rsid w:val="00B261F1"/>
    <w:rsid w:val="00B265BC"/>
    <w:rsid w:val="00B31FB1"/>
    <w:rsid w:val="00B33952"/>
    <w:rsid w:val="00B33C5E"/>
    <w:rsid w:val="00B342F4"/>
    <w:rsid w:val="00B34369"/>
    <w:rsid w:val="00B34DC2"/>
    <w:rsid w:val="00B378E5"/>
    <w:rsid w:val="00B4227D"/>
    <w:rsid w:val="00B4346D"/>
    <w:rsid w:val="00B440F4"/>
    <w:rsid w:val="00B447A5"/>
    <w:rsid w:val="00B450A7"/>
    <w:rsid w:val="00B4654C"/>
    <w:rsid w:val="00B46AF0"/>
    <w:rsid w:val="00B47293"/>
    <w:rsid w:val="00B50E50"/>
    <w:rsid w:val="00B52120"/>
    <w:rsid w:val="00B54ABC"/>
    <w:rsid w:val="00B54DDE"/>
    <w:rsid w:val="00B564D2"/>
    <w:rsid w:val="00B56FBE"/>
    <w:rsid w:val="00B57A4F"/>
    <w:rsid w:val="00B60ACF"/>
    <w:rsid w:val="00B62B58"/>
    <w:rsid w:val="00B65149"/>
    <w:rsid w:val="00B65C8B"/>
    <w:rsid w:val="00B66567"/>
    <w:rsid w:val="00B66F52"/>
    <w:rsid w:val="00B66FE5"/>
    <w:rsid w:val="00B72880"/>
    <w:rsid w:val="00B748AD"/>
    <w:rsid w:val="00B758BF"/>
    <w:rsid w:val="00B75C86"/>
    <w:rsid w:val="00B77EC8"/>
    <w:rsid w:val="00B827A6"/>
    <w:rsid w:val="00B831CE"/>
    <w:rsid w:val="00B83227"/>
    <w:rsid w:val="00B86677"/>
    <w:rsid w:val="00B87131"/>
    <w:rsid w:val="00B939B1"/>
    <w:rsid w:val="00B96D40"/>
    <w:rsid w:val="00B97386"/>
    <w:rsid w:val="00BA263B"/>
    <w:rsid w:val="00BA42B2"/>
    <w:rsid w:val="00BA58D4"/>
    <w:rsid w:val="00BA5B9E"/>
    <w:rsid w:val="00BA679B"/>
    <w:rsid w:val="00BA7C9A"/>
    <w:rsid w:val="00BB203B"/>
    <w:rsid w:val="00BB5F8F"/>
    <w:rsid w:val="00BB657A"/>
    <w:rsid w:val="00BC1A4E"/>
    <w:rsid w:val="00BC4790"/>
    <w:rsid w:val="00BC5DC7"/>
    <w:rsid w:val="00BC6B8B"/>
    <w:rsid w:val="00BC73D8"/>
    <w:rsid w:val="00BD52D7"/>
    <w:rsid w:val="00BD5AD2"/>
    <w:rsid w:val="00BE22F3"/>
    <w:rsid w:val="00BE3C47"/>
    <w:rsid w:val="00BE5B52"/>
    <w:rsid w:val="00BE5B56"/>
    <w:rsid w:val="00BE7B8D"/>
    <w:rsid w:val="00BF0993"/>
    <w:rsid w:val="00BF10A9"/>
    <w:rsid w:val="00BF1703"/>
    <w:rsid w:val="00BF231C"/>
    <w:rsid w:val="00BF51E5"/>
    <w:rsid w:val="00BF74A6"/>
    <w:rsid w:val="00C013AD"/>
    <w:rsid w:val="00C04904"/>
    <w:rsid w:val="00C056B3"/>
    <w:rsid w:val="00C06F9D"/>
    <w:rsid w:val="00C103E5"/>
    <w:rsid w:val="00C13319"/>
    <w:rsid w:val="00C13EE9"/>
    <w:rsid w:val="00C21540"/>
    <w:rsid w:val="00C21906"/>
    <w:rsid w:val="00C21BFA"/>
    <w:rsid w:val="00C22148"/>
    <w:rsid w:val="00C24C8D"/>
    <w:rsid w:val="00C25F47"/>
    <w:rsid w:val="00C25FE2"/>
    <w:rsid w:val="00C26B53"/>
    <w:rsid w:val="00C279B2"/>
    <w:rsid w:val="00C33AA8"/>
    <w:rsid w:val="00C33E50"/>
    <w:rsid w:val="00C34C20"/>
    <w:rsid w:val="00C35A3E"/>
    <w:rsid w:val="00C42130"/>
    <w:rsid w:val="00C423A4"/>
    <w:rsid w:val="00C44BF5"/>
    <w:rsid w:val="00C45E9C"/>
    <w:rsid w:val="00C521D6"/>
    <w:rsid w:val="00C55232"/>
    <w:rsid w:val="00C553A4"/>
    <w:rsid w:val="00C55A06"/>
    <w:rsid w:val="00C55D03"/>
    <w:rsid w:val="00C601BC"/>
    <w:rsid w:val="00C60831"/>
    <w:rsid w:val="00C6329F"/>
    <w:rsid w:val="00C63340"/>
    <w:rsid w:val="00C643F9"/>
    <w:rsid w:val="00C64E95"/>
    <w:rsid w:val="00C71372"/>
    <w:rsid w:val="00C72065"/>
    <w:rsid w:val="00C72410"/>
    <w:rsid w:val="00C7287F"/>
    <w:rsid w:val="00C77A58"/>
    <w:rsid w:val="00C80982"/>
    <w:rsid w:val="00C80CB8"/>
    <w:rsid w:val="00C819F8"/>
    <w:rsid w:val="00C8248C"/>
    <w:rsid w:val="00C84E33"/>
    <w:rsid w:val="00C86D6F"/>
    <w:rsid w:val="00C905FC"/>
    <w:rsid w:val="00C91B5E"/>
    <w:rsid w:val="00C92D03"/>
    <w:rsid w:val="00C9319C"/>
    <w:rsid w:val="00C9377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187E"/>
    <w:rsid w:val="00CD2808"/>
    <w:rsid w:val="00CD28BF"/>
    <w:rsid w:val="00CD4092"/>
    <w:rsid w:val="00CD4A20"/>
    <w:rsid w:val="00CD50A1"/>
    <w:rsid w:val="00CD519E"/>
    <w:rsid w:val="00CD561D"/>
    <w:rsid w:val="00CE0C4F"/>
    <w:rsid w:val="00CE30EA"/>
    <w:rsid w:val="00CE6E3F"/>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2D4C"/>
    <w:rsid w:val="00D1489E"/>
    <w:rsid w:val="00D14A36"/>
    <w:rsid w:val="00D20737"/>
    <w:rsid w:val="00D21E81"/>
    <w:rsid w:val="00D223DE"/>
    <w:rsid w:val="00D25E37"/>
    <w:rsid w:val="00D2661A"/>
    <w:rsid w:val="00D27582"/>
    <w:rsid w:val="00D27EC4"/>
    <w:rsid w:val="00D32719"/>
    <w:rsid w:val="00D33333"/>
    <w:rsid w:val="00D33457"/>
    <w:rsid w:val="00D352A2"/>
    <w:rsid w:val="00D3660F"/>
    <w:rsid w:val="00D4162B"/>
    <w:rsid w:val="00D42BF7"/>
    <w:rsid w:val="00D4514F"/>
    <w:rsid w:val="00D451E2"/>
    <w:rsid w:val="00D45E89"/>
    <w:rsid w:val="00D45E8D"/>
    <w:rsid w:val="00D4628C"/>
    <w:rsid w:val="00D466AE"/>
    <w:rsid w:val="00D4734F"/>
    <w:rsid w:val="00D51BF3"/>
    <w:rsid w:val="00D66846"/>
    <w:rsid w:val="00D675FB"/>
    <w:rsid w:val="00D67FC7"/>
    <w:rsid w:val="00D71F25"/>
    <w:rsid w:val="00D72A9C"/>
    <w:rsid w:val="00D73E30"/>
    <w:rsid w:val="00D7508B"/>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3C9D"/>
    <w:rsid w:val="00DB498B"/>
    <w:rsid w:val="00DB66CA"/>
    <w:rsid w:val="00DB6BCA"/>
    <w:rsid w:val="00DB73F7"/>
    <w:rsid w:val="00DC0321"/>
    <w:rsid w:val="00DC3067"/>
    <w:rsid w:val="00DC370B"/>
    <w:rsid w:val="00DC5B90"/>
    <w:rsid w:val="00DD00FF"/>
    <w:rsid w:val="00DD0619"/>
    <w:rsid w:val="00DD07FB"/>
    <w:rsid w:val="00DD2089"/>
    <w:rsid w:val="00DD25C6"/>
    <w:rsid w:val="00DD4EF5"/>
    <w:rsid w:val="00DD4FE5"/>
    <w:rsid w:val="00DD54B0"/>
    <w:rsid w:val="00DD57EE"/>
    <w:rsid w:val="00DD6BCC"/>
    <w:rsid w:val="00DE0A4B"/>
    <w:rsid w:val="00DE0B28"/>
    <w:rsid w:val="00DE2410"/>
    <w:rsid w:val="00DE2939"/>
    <w:rsid w:val="00DE6E81"/>
    <w:rsid w:val="00DE703F"/>
    <w:rsid w:val="00DE7595"/>
    <w:rsid w:val="00DF0A10"/>
    <w:rsid w:val="00DF1961"/>
    <w:rsid w:val="00DF44DE"/>
    <w:rsid w:val="00DF5F11"/>
    <w:rsid w:val="00E01138"/>
    <w:rsid w:val="00E02DFB"/>
    <w:rsid w:val="00E030F9"/>
    <w:rsid w:val="00E0311A"/>
    <w:rsid w:val="00E03138"/>
    <w:rsid w:val="00E06404"/>
    <w:rsid w:val="00E065D2"/>
    <w:rsid w:val="00E11A85"/>
    <w:rsid w:val="00E12495"/>
    <w:rsid w:val="00E13A6E"/>
    <w:rsid w:val="00E15CCD"/>
    <w:rsid w:val="00E15FC9"/>
    <w:rsid w:val="00E202EF"/>
    <w:rsid w:val="00E210B5"/>
    <w:rsid w:val="00E23D99"/>
    <w:rsid w:val="00E2552F"/>
    <w:rsid w:val="00E3137A"/>
    <w:rsid w:val="00E32CCF"/>
    <w:rsid w:val="00E34A98"/>
    <w:rsid w:val="00E35D1E"/>
    <w:rsid w:val="00E364F9"/>
    <w:rsid w:val="00E365FA"/>
    <w:rsid w:val="00E36789"/>
    <w:rsid w:val="00E369CB"/>
    <w:rsid w:val="00E44A83"/>
    <w:rsid w:val="00E502C1"/>
    <w:rsid w:val="00E502DD"/>
    <w:rsid w:val="00E50D3A"/>
    <w:rsid w:val="00E51387"/>
    <w:rsid w:val="00E51A60"/>
    <w:rsid w:val="00E51E68"/>
    <w:rsid w:val="00E52EFD"/>
    <w:rsid w:val="00E5408A"/>
    <w:rsid w:val="00E56800"/>
    <w:rsid w:val="00E6013F"/>
    <w:rsid w:val="00E60C63"/>
    <w:rsid w:val="00E62FF9"/>
    <w:rsid w:val="00E635D6"/>
    <w:rsid w:val="00E639BC"/>
    <w:rsid w:val="00E66466"/>
    <w:rsid w:val="00E664CC"/>
    <w:rsid w:val="00E70388"/>
    <w:rsid w:val="00E70F92"/>
    <w:rsid w:val="00E72C6C"/>
    <w:rsid w:val="00E74C54"/>
    <w:rsid w:val="00E771F3"/>
    <w:rsid w:val="00E77A03"/>
    <w:rsid w:val="00E822E8"/>
    <w:rsid w:val="00E82554"/>
    <w:rsid w:val="00E82606"/>
    <w:rsid w:val="00E82E6A"/>
    <w:rsid w:val="00E846C8"/>
    <w:rsid w:val="00E84957"/>
    <w:rsid w:val="00E84A55"/>
    <w:rsid w:val="00E85BFF"/>
    <w:rsid w:val="00E90391"/>
    <w:rsid w:val="00E906C2"/>
    <w:rsid w:val="00E9311F"/>
    <w:rsid w:val="00E934D1"/>
    <w:rsid w:val="00E94AF0"/>
    <w:rsid w:val="00E95D13"/>
    <w:rsid w:val="00E95DD3"/>
    <w:rsid w:val="00E969D5"/>
    <w:rsid w:val="00EA3D1C"/>
    <w:rsid w:val="00EA58D1"/>
    <w:rsid w:val="00EA61BC"/>
    <w:rsid w:val="00EA681A"/>
    <w:rsid w:val="00EA735B"/>
    <w:rsid w:val="00EB0CC7"/>
    <w:rsid w:val="00EB17DE"/>
    <w:rsid w:val="00EB1E69"/>
    <w:rsid w:val="00EB2086"/>
    <w:rsid w:val="00EB5EDF"/>
    <w:rsid w:val="00EB60FE"/>
    <w:rsid w:val="00EB74DB"/>
    <w:rsid w:val="00EC4B0F"/>
    <w:rsid w:val="00EC5359"/>
    <w:rsid w:val="00EC562A"/>
    <w:rsid w:val="00ED067A"/>
    <w:rsid w:val="00ED256F"/>
    <w:rsid w:val="00ED2B50"/>
    <w:rsid w:val="00EE0350"/>
    <w:rsid w:val="00EE0719"/>
    <w:rsid w:val="00EE0E80"/>
    <w:rsid w:val="00EE54A6"/>
    <w:rsid w:val="00EE613F"/>
    <w:rsid w:val="00EE7295"/>
    <w:rsid w:val="00EE7869"/>
    <w:rsid w:val="00EF054A"/>
    <w:rsid w:val="00EF3235"/>
    <w:rsid w:val="00EF7E72"/>
    <w:rsid w:val="00F03295"/>
    <w:rsid w:val="00F06D37"/>
    <w:rsid w:val="00F07B9D"/>
    <w:rsid w:val="00F11586"/>
    <w:rsid w:val="00F1183B"/>
    <w:rsid w:val="00F11C9F"/>
    <w:rsid w:val="00F12263"/>
    <w:rsid w:val="00F1409D"/>
    <w:rsid w:val="00F14214"/>
    <w:rsid w:val="00F157A9"/>
    <w:rsid w:val="00F210A2"/>
    <w:rsid w:val="00F2209D"/>
    <w:rsid w:val="00F25BB6"/>
    <w:rsid w:val="00F26B7E"/>
    <w:rsid w:val="00F26F19"/>
    <w:rsid w:val="00F27A3B"/>
    <w:rsid w:val="00F33817"/>
    <w:rsid w:val="00F343B4"/>
    <w:rsid w:val="00F420D5"/>
    <w:rsid w:val="00F4301C"/>
    <w:rsid w:val="00F451EA"/>
    <w:rsid w:val="00F45447"/>
    <w:rsid w:val="00F456C6"/>
    <w:rsid w:val="00F4577B"/>
    <w:rsid w:val="00F46496"/>
    <w:rsid w:val="00F474D0"/>
    <w:rsid w:val="00F50179"/>
    <w:rsid w:val="00F515EE"/>
    <w:rsid w:val="00F51D67"/>
    <w:rsid w:val="00F546A1"/>
    <w:rsid w:val="00F56511"/>
    <w:rsid w:val="00F6194E"/>
    <w:rsid w:val="00F623AC"/>
    <w:rsid w:val="00F6412A"/>
    <w:rsid w:val="00F65893"/>
    <w:rsid w:val="00F66A4A"/>
    <w:rsid w:val="00F67274"/>
    <w:rsid w:val="00F71E22"/>
    <w:rsid w:val="00F72142"/>
    <w:rsid w:val="00F72AE7"/>
    <w:rsid w:val="00F76464"/>
    <w:rsid w:val="00F81141"/>
    <w:rsid w:val="00F833BA"/>
    <w:rsid w:val="00F84287"/>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6AB5"/>
    <w:rsid w:val="00FB7054"/>
    <w:rsid w:val="00FC17B7"/>
    <w:rsid w:val="00FC2CB7"/>
    <w:rsid w:val="00FC39B6"/>
    <w:rsid w:val="00FC4090"/>
    <w:rsid w:val="00FC55B4"/>
    <w:rsid w:val="00FD00E6"/>
    <w:rsid w:val="00FD09A1"/>
    <w:rsid w:val="00FD2A7C"/>
    <w:rsid w:val="00FD59EB"/>
    <w:rsid w:val="00FD5A0C"/>
    <w:rsid w:val="00FD7299"/>
    <w:rsid w:val="00FE1FBE"/>
    <w:rsid w:val="00FE3901"/>
    <w:rsid w:val="00FE39D3"/>
    <w:rsid w:val="00FE3B60"/>
    <w:rsid w:val="00FE4BCE"/>
    <w:rsid w:val="00FE5414"/>
    <w:rsid w:val="00FE54AE"/>
    <w:rsid w:val="00FE576A"/>
    <w:rsid w:val="00FE616C"/>
    <w:rsid w:val="00FE7E79"/>
    <w:rsid w:val="00FF3E7D"/>
    <w:rsid w:val="00FF5B99"/>
    <w:rsid w:val="00FF730C"/>
    <w:rsid w:val="00FF73F4"/>
    <w:rsid w:val="00FF7CE4"/>
    <w:rsid w:val="00FF7E39"/>
    <w:rsid w:val="01115B19"/>
    <w:rsid w:val="024C1B2A"/>
    <w:rsid w:val="060D53F2"/>
    <w:rsid w:val="08A20771"/>
    <w:rsid w:val="10431381"/>
    <w:rsid w:val="108D2CE2"/>
    <w:rsid w:val="118F2D3B"/>
    <w:rsid w:val="11DB078F"/>
    <w:rsid w:val="12032A23"/>
    <w:rsid w:val="145B46BF"/>
    <w:rsid w:val="15802E15"/>
    <w:rsid w:val="190E112B"/>
    <w:rsid w:val="19A10972"/>
    <w:rsid w:val="19C332D1"/>
    <w:rsid w:val="1A4909FC"/>
    <w:rsid w:val="1C8102CE"/>
    <w:rsid w:val="1D9D3CDD"/>
    <w:rsid w:val="1F061B4B"/>
    <w:rsid w:val="205729C5"/>
    <w:rsid w:val="241B736F"/>
    <w:rsid w:val="29B669AE"/>
    <w:rsid w:val="2A4C0283"/>
    <w:rsid w:val="2D2D51D9"/>
    <w:rsid w:val="2D354EB8"/>
    <w:rsid w:val="31FC2035"/>
    <w:rsid w:val="35EA010B"/>
    <w:rsid w:val="39C87F71"/>
    <w:rsid w:val="40612744"/>
    <w:rsid w:val="42E859D2"/>
    <w:rsid w:val="460E42FF"/>
    <w:rsid w:val="48E64762"/>
    <w:rsid w:val="49F8312B"/>
    <w:rsid w:val="4DF65033"/>
    <w:rsid w:val="50F43FE4"/>
    <w:rsid w:val="52AF02BB"/>
    <w:rsid w:val="5A6D4EC2"/>
    <w:rsid w:val="600B4656"/>
    <w:rsid w:val="63905F9E"/>
    <w:rsid w:val="67D545F2"/>
    <w:rsid w:val="67F15A7E"/>
    <w:rsid w:val="6F7E3097"/>
    <w:rsid w:val="723A06E5"/>
    <w:rsid w:val="7C245A73"/>
    <w:rsid w:val="7D115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99" w:semiHidden="0"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Message Header"/>
    <w:basedOn w:val="1"/>
    <w:next w:val="13"/>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cs="Cambria"/>
      <w:sz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link w:val="234"/>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link w:val="231"/>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link w:val="232"/>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标准文件_一级条标题 字符"/>
    <w:basedOn w:val="29"/>
    <w:link w:val="106"/>
    <w:qFormat/>
    <w:uiPriority w:val="0"/>
    <w:rPr>
      <w:rFonts w:ascii="黑体" w:hAnsi="Times New Roman" w:eastAsia="黑体"/>
      <w:sz w:val="21"/>
    </w:rPr>
  </w:style>
  <w:style w:type="character" w:customStyle="1" w:styleId="232">
    <w:name w:val="标准文件_一级无标题 字符"/>
    <w:basedOn w:val="231"/>
    <w:link w:val="163"/>
    <w:qFormat/>
    <w:uiPriority w:val="0"/>
    <w:rPr>
      <w:rFonts w:ascii="宋体" w:hAnsi="Times New Roman" w:eastAsia="黑体"/>
      <w:sz w:val="21"/>
    </w:rPr>
  </w:style>
  <w:style w:type="character" w:customStyle="1" w:styleId="233">
    <w:name w:val="NormalCharacter"/>
    <w:qFormat/>
    <w:uiPriority w:val="0"/>
    <w:rPr>
      <w:rFonts w:ascii="Calibri" w:hAnsi="Calibri" w:eastAsia="宋体" w:cs="Times New Roman"/>
      <w:kern w:val="2"/>
      <w:sz w:val="21"/>
      <w:szCs w:val="24"/>
      <w:lang w:val="en-US" w:eastAsia="zh-CN" w:bidi="ar-SA"/>
    </w:rPr>
  </w:style>
  <w:style w:type="character" w:customStyle="1" w:styleId="234">
    <w:name w:val="标准文件_章标题 字符"/>
    <w:basedOn w:val="29"/>
    <w:link w:val="105"/>
    <w:qFormat/>
    <w:uiPriority w:val="0"/>
    <w:rPr>
      <w:rFonts w:ascii="黑体" w:hAnsi="Times New Roman" w:eastAsia="黑体"/>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6D80C8F7E3E423AAA9A281DBEF3D2D8"/>
        <w:style w:val=""/>
        <w:category>
          <w:name w:val="常规"/>
          <w:gallery w:val="placeholder"/>
        </w:category>
        <w:types>
          <w:type w:val="bbPlcHdr"/>
        </w:types>
        <w:behaviors>
          <w:behavior w:val="content"/>
        </w:behaviors>
        <w:description w:val=""/>
        <w:guid w:val="{59D4DDAA-9B4E-4457-B28E-5EC930F83ACB}"/>
      </w:docPartPr>
      <w:docPartBody>
        <w:p>
          <w:pPr>
            <w:pStyle w:val="5"/>
          </w:pPr>
          <w:r>
            <w:rPr>
              <w:rStyle w:val="4"/>
              <w:rFonts w:hint="eastAsia"/>
            </w:rPr>
            <w:t>单击或点击此处输入文字。</w:t>
          </w:r>
        </w:p>
      </w:docPartBody>
    </w:docPart>
    <w:docPart>
      <w:docPartPr>
        <w:name w:val="56A509C3699A4EE1BDCAA8CBDD7BE336"/>
        <w:style w:val=""/>
        <w:category>
          <w:name w:val="常规"/>
          <w:gallery w:val="placeholder"/>
        </w:category>
        <w:types>
          <w:type w:val="bbPlcHdr"/>
        </w:types>
        <w:behaviors>
          <w:behavior w:val="content"/>
        </w:behaviors>
        <w:description w:val=""/>
        <w:guid w:val="{4D087C33-697E-439A-B1FB-159BFA1EE810}"/>
      </w:docPartPr>
      <w:docPartBody>
        <w:p>
          <w:pPr>
            <w:pStyle w:val="6"/>
          </w:pPr>
          <w:r>
            <w:rPr>
              <w:rStyle w:val="4"/>
              <w:rFonts w:hint="eastAsia"/>
            </w:rPr>
            <w:t>选择一项。</w:t>
          </w:r>
        </w:p>
      </w:docPartBody>
    </w:docPart>
    <w:docPart>
      <w:docPartPr>
        <w:name w:val="AA6139626B024A2DB52DCA09C5BC8AA2"/>
        <w:style w:val=""/>
        <w:category>
          <w:name w:val="常规"/>
          <w:gallery w:val="placeholder"/>
        </w:category>
        <w:types>
          <w:type w:val="bbPlcHdr"/>
        </w:types>
        <w:behaviors>
          <w:behavior w:val="content"/>
        </w:behaviors>
        <w:description w:val=""/>
        <w:guid w:val="{FCB9E1A5-5CE6-40FF-A8CA-1072B0B6A3F1}"/>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F57"/>
    <w:rsid w:val="00004474"/>
    <w:rsid w:val="00047F57"/>
    <w:rsid w:val="001041DD"/>
    <w:rsid w:val="0017043D"/>
    <w:rsid w:val="0024757E"/>
    <w:rsid w:val="003041C3"/>
    <w:rsid w:val="004013C7"/>
    <w:rsid w:val="00470859"/>
    <w:rsid w:val="004B6E53"/>
    <w:rsid w:val="004E419B"/>
    <w:rsid w:val="004F1272"/>
    <w:rsid w:val="005834AD"/>
    <w:rsid w:val="005C0EE2"/>
    <w:rsid w:val="0068112B"/>
    <w:rsid w:val="00704D73"/>
    <w:rsid w:val="007828F8"/>
    <w:rsid w:val="008B20BA"/>
    <w:rsid w:val="009B283C"/>
    <w:rsid w:val="00A07DE3"/>
    <w:rsid w:val="00A44ECD"/>
    <w:rsid w:val="00AF70FD"/>
    <w:rsid w:val="00B63059"/>
    <w:rsid w:val="00B806A6"/>
    <w:rsid w:val="00B92CC6"/>
    <w:rsid w:val="00C04819"/>
    <w:rsid w:val="00C1733F"/>
    <w:rsid w:val="00D16E9F"/>
    <w:rsid w:val="00E0126D"/>
    <w:rsid w:val="00E6060C"/>
    <w:rsid w:val="00E96D52"/>
    <w:rsid w:val="00EB62A1"/>
    <w:rsid w:val="00F64D58"/>
    <w:rsid w:val="00F97944"/>
    <w:rsid w:val="00FC17A2"/>
    <w:rsid w:val="00FF0B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6D80C8F7E3E423AAA9A281DBEF3D2D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6A509C3699A4EE1BDCAA8CBDD7BE33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AA6139626B024A2DB52DCA09C5BC8AA2"/>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948</Words>
  <Characters>5408</Characters>
  <Lines>45</Lines>
  <Paragraphs>12</Paragraphs>
  <TotalTime>2</TotalTime>
  <ScaleCrop>false</ScaleCrop>
  <LinksUpToDate>false</LinksUpToDate>
  <CharactersWithSpaces>6344</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2024-04-13T02:57:00Z</dcterms:created>
  <dc:creator>Lenovo</dc:creator>
  <dc:description>&lt;config cover="true" show_menu="true" version="1.0.0" doctype="SDKXY"&gt;_x000d_
&lt;/config&gt;</dc:description>
  <cp:lastModifiedBy>wdaifu</cp:lastModifiedBy>
  <cp:lastPrinted>2020-08-30T10:00:00Z</cp:lastPrinted>
  <dcterms:modified xsi:type="dcterms:W3CDTF">2024-08-13T02:17:52Z</dcterms:modified>
  <dc:title>地方标准</dc:title>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2052-12.1.0.15120</vt:lpwstr>
  </property>
  <property fmtid="{D5CDD505-2E9C-101B-9397-08002B2CF9AE}" pid="15" name="ICV">
    <vt:lpwstr>496E6A3B4D68460D9A1B5B2EA8427E82_13</vt:lpwstr>
  </property>
</Properties>
</file>